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01692" w14:textId="3E97BA92" w:rsidR="00722FC6" w:rsidRPr="00722FC6" w:rsidRDefault="00722FC6" w:rsidP="00722FC6">
      <w:pPr>
        <w:spacing w:after="120"/>
        <w:jc w:val="center"/>
        <w:rPr>
          <w:rFonts w:ascii="Arial" w:hAnsi="Arial" w:cs="Arial"/>
          <w:b/>
          <w:bCs/>
          <w:sz w:val="20"/>
          <w:szCs w:val="20"/>
        </w:rPr>
      </w:pPr>
      <w:r w:rsidRPr="00722FC6">
        <w:rPr>
          <w:rFonts w:ascii="Arial" w:hAnsi="Arial" w:cs="Arial"/>
          <w:b/>
          <w:bCs/>
          <w:sz w:val="20"/>
          <w:szCs w:val="20"/>
        </w:rPr>
        <w:t>DECISÃO DO PREGOEIRO</w:t>
      </w:r>
    </w:p>
    <w:p w14:paraId="4EE86CF7" w14:textId="77777777" w:rsidR="00722FC6" w:rsidRPr="00722FC6" w:rsidRDefault="00722FC6" w:rsidP="00722FC6">
      <w:pPr>
        <w:spacing w:after="120"/>
        <w:jc w:val="both"/>
        <w:rPr>
          <w:rFonts w:ascii="Arial" w:hAnsi="Arial" w:cs="Arial"/>
          <w:b/>
          <w:bCs/>
          <w:sz w:val="20"/>
          <w:szCs w:val="20"/>
        </w:rPr>
      </w:pPr>
    </w:p>
    <w:p w14:paraId="084EB00A"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Análise de recursos administrativos e determinação de diligências complementares</w:t>
      </w:r>
    </w:p>
    <w:p w14:paraId="059F8CB0" w14:textId="77777777" w:rsidR="00722FC6" w:rsidRPr="00722FC6" w:rsidRDefault="00722FC6" w:rsidP="00722FC6">
      <w:pPr>
        <w:spacing w:after="120"/>
        <w:jc w:val="both"/>
        <w:rPr>
          <w:rFonts w:ascii="Arial" w:hAnsi="Arial" w:cs="Arial"/>
          <w:b/>
          <w:bCs/>
          <w:sz w:val="20"/>
          <w:szCs w:val="20"/>
        </w:rPr>
      </w:pPr>
    </w:p>
    <w:p w14:paraId="6B1845D4"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PROCESSO ADMINISTRATIVO Nº 059/2026</w:t>
      </w:r>
    </w:p>
    <w:p w14:paraId="4DC430AC" w14:textId="1D3BC104"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PREGÃO ELETRÔNICO Nº 024/2026</w:t>
      </w:r>
    </w:p>
    <w:p w14:paraId="7AE807C8" w14:textId="77777777" w:rsidR="00722FC6" w:rsidRPr="00722FC6" w:rsidRDefault="00722FC6" w:rsidP="00722FC6">
      <w:pPr>
        <w:spacing w:after="120"/>
        <w:jc w:val="both"/>
        <w:rPr>
          <w:rFonts w:ascii="Arial" w:hAnsi="Arial" w:cs="Arial"/>
          <w:sz w:val="20"/>
          <w:szCs w:val="20"/>
        </w:rPr>
      </w:pPr>
    </w:p>
    <w:p w14:paraId="7A8C036F" w14:textId="77777777" w:rsidR="00722FC6" w:rsidRDefault="00722FC6" w:rsidP="00722FC6">
      <w:pPr>
        <w:spacing w:after="120"/>
        <w:jc w:val="both"/>
        <w:rPr>
          <w:rFonts w:ascii="Arial" w:hAnsi="Arial" w:cs="Arial"/>
          <w:sz w:val="20"/>
          <w:szCs w:val="20"/>
        </w:rPr>
      </w:pPr>
      <w:r w:rsidRPr="00722FC6">
        <w:rPr>
          <w:rFonts w:ascii="Arial" w:hAnsi="Arial" w:cs="Arial"/>
          <w:b/>
          <w:bCs/>
          <w:sz w:val="20"/>
          <w:szCs w:val="20"/>
        </w:rPr>
        <w:t>OBJETO:</w:t>
      </w:r>
      <w:r w:rsidRPr="00722FC6">
        <w:rPr>
          <w:rFonts w:ascii="Arial" w:hAnsi="Arial" w:cs="Arial"/>
          <w:sz w:val="20"/>
          <w:szCs w:val="20"/>
        </w:rPr>
        <w:t xml:space="preserve"> Contratação de empresa especializada para prestação de serviços de locação de sistema de videomonitoramento eletrônico (CFTV), compreendendo fornecimento de equipamentos em regime de comodato, instalação completa, configuração, manutenção preventiva e corretiva, suporte técnico contínuo 24x7 e treinamento de usuários, destinados à segurança patrimonial das unidades do Serviço Autônomo de Água e Esgoto de Lambari/MG.</w:t>
      </w:r>
    </w:p>
    <w:p w14:paraId="16A2E628" w14:textId="77777777" w:rsidR="00722FC6" w:rsidRPr="00722FC6" w:rsidRDefault="00722FC6" w:rsidP="00722FC6">
      <w:pPr>
        <w:spacing w:after="120"/>
        <w:jc w:val="both"/>
        <w:rPr>
          <w:rFonts w:ascii="Arial" w:hAnsi="Arial" w:cs="Arial"/>
          <w:sz w:val="20"/>
          <w:szCs w:val="20"/>
        </w:rPr>
      </w:pPr>
    </w:p>
    <w:p w14:paraId="686CA81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RECORRENTES:</w:t>
      </w:r>
    </w:p>
    <w:p w14:paraId="2B788000" w14:textId="77777777" w:rsidR="00722FC6" w:rsidRPr="00722FC6" w:rsidRDefault="00722FC6" w:rsidP="00722FC6">
      <w:pPr>
        <w:numPr>
          <w:ilvl w:val="0"/>
          <w:numId w:val="42"/>
        </w:numPr>
        <w:spacing w:after="120"/>
        <w:ind w:left="0" w:firstLine="0"/>
        <w:jc w:val="both"/>
        <w:rPr>
          <w:rFonts w:ascii="Arial" w:hAnsi="Arial" w:cs="Arial"/>
          <w:sz w:val="20"/>
          <w:szCs w:val="20"/>
        </w:rPr>
      </w:pPr>
      <w:r w:rsidRPr="00722FC6">
        <w:rPr>
          <w:rFonts w:ascii="Arial" w:hAnsi="Arial" w:cs="Arial"/>
          <w:sz w:val="20"/>
          <w:szCs w:val="20"/>
        </w:rPr>
        <w:t>INFRASEG PROTEÇÃO E SERVIÇOS;</w:t>
      </w:r>
    </w:p>
    <w:p w14:paraId="48D34216" w14:textId="77777777" w:rsidR="00722FC6" w:rsidRPr="00722FC6" w:rsidRDefault="00722FC6" w:rsidP="00722FC6">
      <w:pPr>
        <w:numPr>
          <w:ilvl w:val="0"/>
          <w:numId w:val="42"/>
        </w:numPr>
        <w:spacing w:after="120"/>
        <w:ind w:left="0" w:firstLine="0"/>
        <w:jc w:val="both"/>
        <w:rPr>
          <w:rFonts w:ascii="Arial" w:hAnsi="Arial" w:cs="Arial"/>
          <w:sz w:val="20"/>
          <w:szCs w:val="20"/>
        </w:rPr>
      </w:pPr>
      <w:r w:rsidRPr="00722FC6">
        <w:rPr>
          <w:rFonts w:ascii="Arial" w:hAnsi="Arial" w:cs="Arial"/>
          <w:sz w:val="20"/>
          <w:szCs w:val="20"/>
        </w:rPr>
        <w:t>BLOCK ALERT SISTEMAS DE SEGURANÇA LTDA., CNPJ nº 07.526.112/0001-20.</w:t>
      </w:r>
    </w:p>
    <w:p w14:paraId="6B9B27C5"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RECORRIDA:</w:t>
      </w:r>
      <w:r w:rsidRPr="00722FC6">
        <w:rPr>
          <w:rFonts w:ascii="Arial" w:hAnsi="Arial" w:cs="Arial"/>
          <w:sz w:val="20"/>
          <w:szCs w:val="20"/>
        </w:rPr>
        <w:t xml:space="preserve"> PAMPLONA &amp; PAMPLONA LTDA., CNPJ nº 08.241.154/0001-87, nome fantasia SEMELC SISTEMAS ELETRÔNICOS.</w:t>
      </w:r>
    </w:p>
    <w:p w14:paraId="3A51B258"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ASSUNTO:</w:t>
      </w:r>
      <w:r w:rsidRPr="00722FC6">
        <w:rPr>
          <w:rFonts w:ascii="Arial" w:hAnsi="Arial" w:cs="Arial"/>
          <w:sz w:val="20"/>
          <w:szCs w:val="20"/>
        </w:rPr>
        <w:t xml:space="preserve"> Recursos administrativos contra a decisão de habilitação da empresa PAMPLONA &amp; PAMPLONA LTDA.</w:t>
      </w:r>
    </w:p>
    <w:p w14:paraId="4AEE5FE1" w14:textId="77777777" w:rsidR="00722FC6" w:rsidRDefault="00722FC6" w:rsidP="00722FC6">
      <w:pPr>
        <w:spacing w:after="120"/>
        <w:jc w:val="both"/>
        <w:rPr>
          <w:rFonts w:ascii="Arial" w:hAnsi="Arial" w:cs="Arial"/>
          <w:sz w:val="20"/>
          <w:szCs w:val="20"/>
        </w:rPr>
      </w:pPr>
    </w:p>
    <w:p w14:paraId="373B7841" w14:textId="26C0BBB9"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I – RELATÓRIO</w:t>
      </w:r>
    </w:p>
    <w:p w14:paraId="7F812BD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Trata-se da análise dos recursos administrativos interpostos pelas empresas INFRASEG PROTEÇÃO E SERVIÇOS e BLOCK ALERT SISTEMAS DE SEGURANÇA LTDA., em face da decisão que declarou habilitada a empresa PAMPLONA &amp; PAMPLONA LTDA. no âmbito do Pregão Eletrônico nº 024/2026, promovido pelo Serviço Autônomo de Água e Esgoto de Lambari/MG.</w:t>
      </w:r>
    </w:p>
    <w:p w14:paraId="197C4D0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procedimento licitatório tem por finalidade a contratação de empresa especializada para implantação e locação de solução integrada de videomonitoramento eletrônico, incluindo o fornecimento de equipamentos, instalação, configuração, manutenção preventiva e corretiva e suporte técnico contínuo.</w:t>
      </w:r>
    </w:p>
    <w:p w14:paraId="50A3985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Conforme os documentos da licitação, a empresa PAMPLONA &amp; PAMPLONA LTDA. apresentou proposta comercial no valor global de R$ 36.500,00 (trinta e seis mil e quinhentos reais), tendo sido beneficiada pela aplicação da prioridade de contratação de microempresas e empresas de pequeno porte sediadas localmente, prevista no item 6.22.5 do edital, em consonância com o Decreto Municipal nº 4.681/2024.</w:t>
      </w:r>
    </w:p>
    <w:p w14:paraId="2F187EE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Inconformadas com a decisão, as recorrentes apresentaram suas razões em 09 de outubro de 2026.</w:t>
      </w:r>
    </w:p>
    <w:p w14:paraId="59C82A78"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1.1. Do recurso apresentado pela INFRASEG PROTEÇÃO E SERVIÇOS</w:t>
      </w:r>
    </w:p>
    <w:p w14:paraId="6F12284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empresa INFRASEG sustenta, em síntese, que a recorrida não teria atendido integralmente às exigências de proposta e habilitação estabelecidas no edital.</w:t>
      </w:r>
    </w:p>
    <w:p w14:paraId="26A091E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Seus questionamentos concentram-se nos seguintes fundamentos:</w:t>
      </w:r>
    </w:p>
    <w:p w14:paraId="7909F77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ausência de apresentação da proposta comercial conforme o modelo estabelecido no Anexo IV do edital;</w:t>
      </w:r>
    </w:p>
    <w:p w14:paraId="0E68C64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b) insuficiência da documentação econômico-financeira, em razão da apresentação de demonstrações contábeis referentes exclusivamente ao exercício de 2025, sem a correspondente documentação de 2024;</w:t>
      </w:r>
    </w:p>
    <w:p w14:paraId="648ACD6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 ausência dos termos de abertura e encerramento da escrituração contábil;</w:t>
      </w:r>
    </w:p>
    <w:p w14:paraId="3BF608A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d) insuficiência do atestado de capacidade técnica, por não demonstrar o quantitativo mínimo de câmeras ou pontos de monitoramento exigido;</w:t>
      </w:r>
    </w:p>
    <w:p w14:paraId="68B70FF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 ausência de certidão de registro e regularidade profissional da pessoa física indicada como responsável técnico.</w:t>
      </w:r>
    </w:p>
    <w:p w14:paraId="51ED398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Ao final, requer a reforma da decisão recorrida, com a desclassificação e inabilitação da empresa PAMPLONA &amp; PAMPLONA LTDA. e o prosseguimento do procedimento licitatório.</w:t>
      </w:r>
    </w:p>
    <w:p w14:paraId="14C490A4"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1.2. Do recurso apresentado pela BLOCK ALERT SISTEMAS DE SEGURANÇA LTDA.</w:t>
      </w:r>
    </w:p>
    <w:p w14:paraId="53ED979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empresa BLOCK ALERT questiona a habilitação da recorrida, especialmente quanto à qualificação técnica, econômico-financeira e aos pressupostos de aplicação da prioridade de contratação local.</w:t>
      </w:r>
    </w:p>
    <w:p w14:paraId="5CDCE4D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Sustenta, em síntese:</w:t>
      </w:r>
    </w:p>
    <w:p w14:paraId="2144621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ausência de comprovação objetiva de execução anterior de, no mínimo, 12 câmeras ou pontos de monitoramento, correspondentes a 50% do quantitativo previsto na contratação;</w:t>
      </w:r>
    </w:p>
    <w:p w14:paraId="5774504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b) insuficiência da descrição dos serviços constantes do atestado técnico, especialmente quanto à configuração de sistemas de gravação, manutenção preventiva e corretiva e suporte técnico contínuo;</w:t>
      </w:r>
    </w:p>
    <w:p w14:paraId="243926B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 necessidade de análise individualizada da qualificação técnico-operacional da empresa e da qualificação técnico-profissional de seu responsável;</w:t>
      </w:r>
    </w:p>
    <w:p w14:paraId="3F8EE95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d) divergências na identificação da pessoa jurídica executora dos serviços e no endereço de execução informado na Certidão de Acervo Técnico e no atestado correspondente;</w:t>
      </w:r>
    </w:p>
    <w:p w14:paraId="689969B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 ausência de demonstrações contábeis referentes ao exercício de 2024;</w:t>
      </w:r>
    </w:p>
    <w:p w14:paraId="60789E0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f) necessidade de comprovação dos pressupostos legais e regulamentares para aplicação da prioridade de contratação de fornecedores locais.</w:t>
      </w:r>
    </w:p>
    <w:p w14:paraId="0E52DCD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requer a revisão da decisão de habilitação, admitindo expressamente a realização de diligências destinadas à comprovação de condições preexistentes à abertura do certame e pleiteando a inabilitação caso não seja demonstrado o atendimento aos requisitos exigidos.</w:t>
      </w:r>
    </w:p>
    <w:p w14:paraId="1BEDFDD8"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1.3. Da ausência de contrarrazões</w:t>
      </w:r>
    </w:p>
    <w:p w14:paraId="142FF8A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foram apresentadas contrarrazões pela empresa PAMPLONA &amp; PAMPLONA LTDA. aos recursos administrativos interpostos.</w:t>
      </w:r>
    </w:p>
    <w:p w14:paraId="0F61CB9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ausência de manifestação deverá ser registrada nos autos, com a certificação do encerramento do prazo correspondente.</w:t>
      </w:r>
    </w:p>
    <w:p w14:paraId="35CC6C4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Ressalta-se que a não apresentação de contrarrazões não implica reconhecimento das irregularidades apontadas pelas recorrentes, nem autoriza presumir o descumprimento das exigências editalícias.</w:t>
      </w:r>
    </w:p>
    <w:p w14:paraId="7E627C0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Compete à Administração examinar os recursos de maneira objetiva, à luz dos documentos apresentados, da legislação aplicável e das disposições do instrumento convocatório.</w:t>
      </w:r>
    </w:p>
    <w:p w14:paraId="233D77D5"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t>É o relatório.</w:t>
      </w:r>
    </w:p>
    <w:p w14:paraId="333BA9BD" w14:textId="77777777" w:rsidR="00A55639" w:rsidRPr="00722FC6" w:rsidRDefault="00A55639" w:rsidP="00722FC6">
      <w:pPr>
        <w:spacing w:after="120"/>
        <w:jc w:val="both"/>
        <w:rPr>
          <w:rFonts w:ascii="Arial" w:hAnsi="Arial" w:cs="Arial"/>
          <w:sz w:val="20"/>
          <w:szCs w:val="20"/>
        </w:rPr>
      </w:pPr>
    </w:p>
    <w:p w14:paraId="082AE4F3"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II – DA ADMISSIBILIDADE E DO PROCESSAMENTO DOS RECURSOS</w:t>
      </w:r>
    </w:p>
    <w:p w14:paraId="709DE51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recursos administrativos questionam decisão relativa à habilitação de licitante, matéria recorrível nos termos do art. 165, inciso I, alínea "c", da Lei Federal nº 14.133/2021 e do item 10 do edital.</w:t>
      </w:r>
    </w:p>
    <w:p w14:paraId="746A80A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As razões foram apresentadas em 09 de outubro de 2026, devendo sua admissibilidade observar os registros eletrônicos da sessão, especialmente quanto à manifestação tempestiva da intenção de recorrer e à apresentação das razões no prazo regulamentar.</w:t>
      </w:r>
    </w:p>
    <w:p w14:paraId="34D5F2F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tendo sido apresentadas contrarrazões, e uma vez certificado o regular encerramento do prazo correspondente, a análise prossegue com fundamento nos recursos e nos documentos integrantes do procedimento.</w:t>
      </w:r>
    </w:p>
    <w:p w14:paraId="0ED6AA0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ausência de contrarrazões não prejudica o exercício da autotutela administrativa, tampouco dispensa a adequada verificação dos requisitos de habilitação.</w:t>
      </w:r>
    </w:p>
    <w:p w14:paraId="5C4670AA"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Nos termos do art. 168 da Lei nº 14.133/2021 e do item 10.7 do edital, os recursos possuem efeito suspensivo até que sobrevenha decisão final da autoridade competente.</w:t>
      </w:r>
    </w:p>
    <w:p w14:paraId="6EC45500" w14:textId="77777777" w:rsidR="00A55639" w:rsidRPr="00722FC6" w:rsidRDefault="00A55639" w:rsidP="00722FC6">
      <w:pPr>
        <w:spacing w:after="120"/>
        <w:jc w:val="both"/>
        <w:rPr>
          <w:rFonts w:ascii="Arial" w:hAnsi="Arial" w:cs="Arial"/>
          <w:sz w:val="20"/>
          <w:szCs w:val="20"/>
        </w:rPr>
      </w:pPr>
    </w:p>
    <w:p w14:paraId="155D0F97"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III – DOS PRINCÍPIOS APLICÁVEIS AO JULGAMENTO</w:t>
      </w:r>
    </w:p>
    <w:p w14:paraId="2E2BC19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procedimento licitatório deve observar os princípios estabelecidos no art. 5º da Lei Federal nº 14.133/2021, especialmente a legalidade, a impessoalidade, a igualdade, a eficiência, o interesse público, a vinculação ao instrumento convocatório, o julgamento objetivo, a razoabilidade, a proporcionalidade, a competitividade e a segurança jurídica.</w:t>
      </w:r>
    </w:p>
    <w:p w14:paraId="5FAD838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vinculação ao edital exige que a Administração verifique objetivamente o cumprimento dos requisitos de habilitação, não sendo admissível dispensar exigências essenciais em benefício de determinado licitante.</w:t>
      </w:r>
    </w:p>
    <w:p w14:paraId="1E9AF60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Entretanto, a aplicação dessas regras deve observar a finalidade do procedimento licitatório, evitando que falhas meramente formais ou insuficiências documentais passíveis de esclarecimento resultem na exclusão indevida de propostas potencialmente vantajosas.</w:t>
      </w:r>
    </w:p>
    <w:p w14:paraId="39DD68A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Lei nº 14.133/2021 admite, em seu art. 64, a realização de diligências nas hipóteses legalmente previstas, inclusive para complementação de informações sobre documentos apresentados, desde que destinadas à apuração de fatos existentes à época da abertura do certame.</w:t>
      </w:r>
    </w:p>
    <w:p w14:paraId="7E0476A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 1º do mesmo dispositivo permite o saneamento de erros ou falhas que não alterem a substância dos documentos e sua validade jurídica, mediante decisão fundamentada e acessível aos interessados.</w:t>
      </w:r>
    </w:p>
    <w:p w14:paraId="0C49CAE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Tribunal de Contas da União, no Acórdão nº 1.211/2021-Plenário, Relator Ministro Walton Alencar Rodrigues, reconheceu que a vedação à inclusão de documentos não alcança aqueles destinados a comprovar condição material já atendida pelo licitante à época da apresentação da proposta, quando não juntados inicialmente por falha ou equívoco.</w:t>
      </w:r>
    </w:p>
    <w:p w14:paraId="05F9C3B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Esse entendimento não autoriza, contudo, a constituição posterior de requisito de habilitação inexistente no momento exigido pelo edital.</w:t>
      </w:r>
    </w:p>
    <w:p w14:paraId="59D69F2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Assim, deve-se distinguir a ausência de comprovação documental de condição preexistente da ausência da própria condição material exigida.</w:t>
      </w:r>
    </w:p>
    <w:p w14:paraId="19A52458"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t>A primeira hipótese poderá admitir saneamento, observados os limites legais e editalícios. A segunda poderá justificar a inabilitação, após adequada instrução e decisão motivada.</w:t>
      </w:r>
    </w:p>
    <w:p w14:paraId="332294B9" w14:textId="77777777" w:rsidR="00A55639" w:rsidRPr="00722FC6" w:rsidRDefault="00A55639" w:rsidP="00722FC6">
      <w:pPr>
        <w:spacing w:after="120"/>
        <w:jc w:val="both"/>
        <w:rPr>
          <w:rFonts w:ascii="Arial" w:hAnsi="Arial" w:cs="Arial"/>
          <w:sz w:val="20"/>
          <w:szCs w:val="20"/>
        </w:rPr>
      </w:pPr>
    </w:p>
    <w:p w14:paraId="6F6FF0C6"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IV – DA ANÁLISE DO RECURSO DA INFRASEG PROTEÇÃO E SERVIÇOS</w:t>
      </w:r>
    </w:p>
    <w:p w14:paraId="3474CD99"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4.1. Da alegada ausência de proposta comercial</w:t>
      </w:r>
    </w:p>
    <w:p w14:paraId="00002F3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sustenta que a empresa PAMPLONA &amp; PAMPLONA LTDA. não apresentou proposta comercial conforme o modelo previsto no Anexo IV do edital.</w:t>
      </w:r>
    </w:p>
    <w:p w14:paraId="221F1EA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Entretanto, a análise dos documentos demonstra que a proposta comercial foi efetivamente apresentada.</w:t>
      </w:r>
    </w:p>
    <w:p w14:paraId="1EE7BAD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Nas páginas 119 e 120 do arquivo denominado "Proposta e Documentos.pdf" consta documento contendo a identificação da empresa licitante, o número do processo administrativo, o número do pregão, os dados do representante, a discriminação dos serviços, os quantitativos, os valores unitários e o valor global da contratação.</w:t>
      </w:r>
    </w:p>
    <w:p w14:paraId="3AF6DCDC"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proposta contempla:</w:t>
      </w:r>
    </w:p>
    <w:p w14:paraId="2B83C435" w14:textId="77777777" w:rsidR="00722FC6" w:rsidRPr="00722FC6" w:rsidRDefault="00722FC6" w:rsidP="00722FC6">
      <w:pPr>
        <w:numPr>
          <w:ilvl w:val="0"/>
          <w:numId w:val="43"/>
        </w:numPr>
        <w:spacing w:after="120"/>
        <w:ind w:left="0" w:firstLine="0"/>
        <w:jc w:val="both"/>
        <w:rPr>
          <w:rFonts w:ascii="Arial" w:hAnsi="Arial" w:cs="Arial"/>
          <w:sz w:val="20"/>
          <w:szCs w:val="20"/>
        </w:rPr>
      </w:pPr>
      <w:r w:rsidRPr="00722FC6">
        <w:rPr>
          <w:rFonts w:ascii="Arial" w:hAnsi="Arial" w:cs="Arial"/>
          <w:sz w:val="20"/>
          <w:szCs w:val="20"/>
        </w:rPr>
        <w:t>Item 01: locação mensal de sistema completo de CFTV, com manutenção e suporte, no valor global de R$ 25.800,00;</w:t>
      </w:r>
    </w:p>
    <w:p w14:paraId="790AE863" w14:textId="77777777" w:rsidR="00722FC6" w:rsidRPr="00722FC6" w:rsidRDefault="00722FC6" w:rsidP="00722FC6">
      <w:pPr>
        <w:numPr>
          <w:ilvl w:val="0"/>
          <w:numId w:val="43"/>
        </w:numPr>
        <w:spacing w:after="120"/>
        <w:ind w:left="0" w:firstLine="0"/>
        <w:jc w:val="both"/>
        <w:rPr>
          <w:rFonts w:ascii="Arial" w:hAnsi="Arial" w:cs="Arial"/>
          <w:sz w:val="20"/>
          <w:szCs w:val="20"/>
        </w:rPr>
      </w:pPr>
      <w:r w:rsidRPr="00722FC6">
        <w:rPr>
          <w:rFonts w:ascii="Arial" w:hAnsi="Arial" w:cs="Arial"/>
          <w:sz w:val="20"/>
          <w:szCs w:val="20"/>
        </w:rPr>
        <w:t>Item 02: implantação do sistema, incluindo fornecimento, instalação e configuração, no valor de R$ 10.700,00.</w:t>
      </w:r>
    </w:p>
    <w:p w14:paraId="3282149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valor total ofertado corresponde a R$ 36.500,00.</w:t>
      </w:r>
    </w:p>
    <w:p w14:paraId="435C39EC"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Constam, ainda, declarações de concordância com as obrigações e condições editalícias e assinatura digital da pessoa jurídica.</w:t>
      </w:r>
    </w:p>
    <w:p w14:paraId="4426E98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Embora exista referência ao número do processo administrativo em trecho que menciona o pregão, o documento identifica corretamente, em seu cabeçalho, o Pregão Eletrônico nº 024/2026 e apresenta elementos suficientes para sua vinculação inequívoca ao certame.</w:t>
      </w:r>
    </w:p>
    <w:p w14:paraId="23D8BA6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se verifica, portanto, ausência de proposta comercial, tampouco vício que comprometa sua identificação ou o conteúdo econômico da oferta.</w:t>
      </w:r>
    </w:p>
    <w:p w14:paraId="4C72DDC6"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a alegação não procede, devendo ser afastado o pedido de desclassificação fundado na suposta ausência do Anexo IV.</w:t>
      </w:r>
    </w:p>
    <w:p w14:paraId="6DB2DA28"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4.2. Da alegada ausência de certidão profissional do responsável técnico</w:t>
      </w:r>
    </w:p>
    <w:p w14:paraId="0168199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afirma que a empresa teria apresentado apenas o Termo de Responsabilidade Técnica nº BR20190048284, sem comprovar a regularidade do profissional perante o conselho competente.</w:t>
      </w:r>
    </w:p>
    <w:p w14:paraId="11AA361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Todavia, a documentação apresentada contém, na página 33, a Certidão de Registro e Quitação de Pessoa Física nº 2705681/2026, emitida pelo Conselho Regional dos Técnicos Industriais de Minas Gerais em 08/09/2026, com validade até 31/03/2027, em nome do profissional Rodrigo Pamplona da Silva.</w:t>
      </w:r>
    </w:p>
    <w:p w14:paraId="49E98C0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Consta também, na página 34, a Certidão de Registro e Quitação de Pessoa Jurídica nº 2705687/2026, referente à PAMPLONA &amp; PAMPLONA LTDA.</w:t>
      </w:r>
    </w:p>
    <w:p w14:paraId="1FAD1FE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documentos identificam a regularidade cadastral do profissional e da empresa perante o conselho competente.</w:t>
      </w:r>
    </w:p>
    <w:p w14:paraId="4FADA3C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Dessa forma, não se confirma a ausência documental alegada pela recorrente.</w:t>
      </w:r>
    </w:p>
    <w:p w14:paraId="536FFDD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Ressalta-se, contudo, que a comprovação do registro profissional não se confunde com a demonstração da experiência anteriormente adquirida nas atividades exigidas pelo item 9.37 do Termo de Referência, matéria que será examinada separadamente.</w:t>
      </w:r>
    </w:p>
    <w:p w14:paraId="0A6A6CC4"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afasta-se a alegação de ausência de certidão de registro profissional, permanecendo necessária apenas a avaliação da experiência técnico-profissional exigida.</w:t>
      </w:r>
    </w:p>
    <w:p w14:paraId="2FDB4324"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4.3. Da qualificação econômico-financeira</w:t>
      </w:r>
    </w:p>
    <w:p w14:paraId="09AB8EC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questiona a apresentação exclusiva de demonstrações contábeis relativas ao exercício de 2025, sem documentação correspondente ao exercício de 2024.</w:t>
      </w:r>
    </w:p>
    <w:p w14:paraId="1592165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9.21 do Termo de Referência estabelece a apresentação de balanço patrimonial, Demonstração do Resultado do Exercício e demais demonstrações contábeis legalmente exigíveis, com comprovação dos índices de Liquidez Geral, Liquidez Corrente e Solvência Geral superiores a 1 (um).</w:t>
      </w:r>
    </w:p>
    <w:p w14:paraId="206F75C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9.23 determina que os indicadores sejam atingidos em cada um dos dois últimos exercícios sociais.</w:t>
      </w:r>
    </w:p>
    <w:p w14:paraId="6F05FDE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9.24 limita a documentação ao último exercício apenas no caso de pessoa jurídica constituída há menos de dois anos.</w:t>
      </w:r>
    </w:p>
    <w:p w14:paraId="53EB547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empresa PAMPLONA &amp; PAMPLONA LTDA. foi constituída em 18/08/2006, conforme documentação societária e relatório do SICAF.</w:t>
      </w:r>
    </w:p>
    <w:p w14:paraId="06157F7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Logo, não se enquadra na exceção prevista no item 9.24.</w:t>
      </w:r>
    </w:p>
    <w:p w14:paraId="01C74D8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documentação disponibilizada contém balanço patrimonial, Demonstração do Resultado do Exercício e declaração dos índices referentes a 2025.</w:t>
      </w:r>
    </w:p>
    <w:p w14:paraId="55F5D2F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índices desse exercício apresentam resultados superiores ao mínimo exigido, não havendo demonstração de insuficiência dos indicadores de 2025.</w:t>
      </w:r>
    </w:p>
    <w:p w14:paraId="52AC0E6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Entretanto, não foram identificadas, no arquivo examinado, as demonstrações contábeis referentes ao exercício de 2024.</w:t>
      </w:r>
    </w:p>
    <w:p w14:paraId="2DB2464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Antes de concluir pelo descumprimento do requisito, é necessário verificar se os documentos constam de outros registros do processo ou do SICAF e, se não disponíveis, avaliar sua apresentação em diligência, nos limites legalmente admitidos.</w:t>
      </w:r>
    </w:p>
    <w:p w14:paraId="2B3E49F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Quanto à ausência dos termos de abertura e encerramento, a regularidade documental deverá ser examinada segundo a modalidade de escrituração efetivamente utilizada pela empresa, considerando os registros contábeis apresentados e a legislação aplicável.</w:t>
      </w:r>
    </w:p>
    <w:p w14:paraId="0FA74E9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simples condição de microempresa ou de optante pelo Simples Nacional não implica dispensa automática da comprovação econômico-financeira exigida no instrumento convocatório.</w:t>
      </w:r>
    </w:p>
    <w:p w14:paraId="207F890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Por outro lado, não se pode exigir indiscriminadamente modalidade específica de escrituração ou formalidade incompatível com a disciplina legal aplicável à empresa.</w:t>
      </w:r>
    </w:p>
    <w:p w14:paraId="57B8503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o questionamento relativo à ausência das demonstrações de 2024 revela pendência relevante que exige complementação da instrução. Não há, entretanto, elementos suficientes para determinar, neste momento, a inabilitação definitiva da recorrida.</w:t>
      </w:r>
    </w:p>
    <w:p w14:paraId="54E95DA9"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4.4. Da insuficiência do atestado de capacidade técnica</w:t>
      </w:r>
    </w:p>
    <w:p w14:paraId="17BB11E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sustenta que o atestado apresentado não demonstra o atendimento ao quantitativo mínimo exigido no item 9.30.1.2 do Termo de Referência.</w:t>
      </w:r>
    </w:p>
    <w:p w14:paraId="7EA9DDB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alegação possui fundamento quanto à insuficiência da demonstração documental atualmente identificada.</w:t>
      </w:r>
    </w:p>
    <w:p w14:paraId="55ACCFA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5.18 do Termo de Referência contempla 24 câmeras, distribuídas entre três unidades do SAAE.</w:t>
      </w:r>
    </w:p>
    <w:p w14:paraId="61A685B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9.30.1.2 exige comprovação de execução anterior de serviços de implantação ou manutenção de sistemas de CFTV correspondentes a, no mínimo, 50% do quantitativo previsto.</w:t>
      </w:r>
    </w:p>
    <w:p w14:paraId="4C65A89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Desse modo, o quantitativo mínimo a comprovar corresponde a 12 câmeras ou pontos de monitoramento.</w:t>
      </w:r>
    </w:p>
    <w:p w14:paraId="73013EC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recorrida apresentou a Certidão de Acervo Técnico nº 1724654/2024, vinculada ao TRT nº CFT2201747665 e ao atestado da Caixa Escolar Paulo Alcoforado Cavalcante.</w:t>
      </w:r>
    </w:p>
    <w:p w14:paraId="11D36D8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Contudo, o quantitativo descrito na CAT utiliza a unidade "ampère", não permitindo aferir diretamente a quantidade de câmeras ou pontos de monitoramento instalados ou mantidos.</w:t>
      </w:r>
    </w:p>
    <w:p w14:paraId="771CD3B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atestado também não apresenta discriminação suficiente para comprovação objetiva do quantitativo mínimo.</w:t>
      </w:r>
    </w:p>
    <w:p w14:paraId="27F2015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Essa circunstância impede concluir, apenas com os documentos identificados, pelo atendimento ao item 9.30.1.2.</w:t>
      </w:r>
    </w:p>
    <w:p w14:paraId="0A2B6BD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Todavia, a insuficiência da descrição não comprova, por si só, que o serviço executado tenha abrangido quantitativo inferior ao exigido.</w:t>
      </w:r>
    </w:p>
    <w:p w14:paraId="3ED5A24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É necessário verificar o contrato originário e os elementos materiais de sua execução, inclusive por meio de confirmação junto à entidade emitente.</w:t>
      </w:r>
    </w:p>
    <w:p w14:paraId="24C03379" w14:textId="77777777" w:rsid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reconhece-se a relevância do questionamento e determina-se a realização de diligência para apuração dos quantitativos efetivamente executados, reservando-se a conclusão definitiva para momento posterior.</w:t>
      </w:r>
    </w:p>
    <w:p w14:paraId="188C7316" w14:textId="77777777" w:rsidR="00A55639" w:rsidRPr="00722FC6" w:rsidRDefault="00A55639" w:rsidP="00722FC6">
      <w:pPr>
        <w:spacing w:after="120"/>
        <w:jc w:val="both"/>
        <w:rPr>
          <w:rFonts w:ascii="Arial" w:hAnsi="Arial" w:cs="Arial"/>
          <w:sz w:val="20"/>
          <w:szCs w:val="20"/>
        </w:rPr>
      </w:pPr>
    </w:p>
    <w:p w14:paraId="7C837814"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V – DA ANÁLISE DO RECURSO DA BLOCK ALERT SISTEMAS DE SEGURANÇA LTDA.</w:t>
      </w:r>
    </w:p>
    <w:p w14:paraId="5AA29046"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5.1. Da ausência de demonstração do quantitativo mínimo</w:t>
      </w:r>
    </w:p>
    <w:p w14:paraId="2985B4C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BLOCK ALERT sustenta que os documentos apresentados pela recorrida não comprovam a execução anterior de, no mínimo, 12 câmeras ou pontos de monitoramento.</w:t>
      </w:r>
    </w:p>
    <w:p w14:paraId="09743C7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Conforme já examinado, a CAT nº 1724654/2024 e o atestado correspondente não individualizam objetivamente o quantitativo exigido.</w:t>
      </w:r>
    </w:p>
    <w:p w14:paraId="4B40475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O contrato anterior possui período de execução informado entre 01/03/2022 e 28/02/2023, mas a indicação de prazo e valor contratual não permite presumir a quantidade de equipamentos envolvidos.</w:t>
      </w:r>
    </w:p>
    <w:p w14:paraId="7BFECC7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valor do contrato anterior, de R$ 20.424,00, também não constitui elemento suficiente para inferir a quantidade de câmeras instaladas ou mantidas.</w:t>
      </w:r>
    </w:p>
    <w:p w14:paraId="78F60F7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9.30.3 do Termo de Referência exige que os atestados apresentem elementos que permitam verificar a compatibilidade dos serviços e os quantitativos pertinentes.</w:t>
      </w:r>
    </w:p>
    <w:p w14:paraId="12BB871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De igual modo, o item 9.30.2 admite o somatório de diferentes atestados, observadas as condições nele estabelecidas, inclusive quanto à concomitância dos serviços para comprovação quantitativa.</w:t>
      </w:r>
    </w:p>
    <w:p w14:paraId="3F3B69B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Administração deverá, portanto, identificar os documentos efetivamente aptos à comprovação da experiência mínima, sem presumir o atendimento a partir de referências genéricas.</w:t>
      </w:r>
    </w:p>
    <w:p w14:paraId="655410FC"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a alegação demonstra insuficiência na comprovação documental disponível, sendo necessária diligência específica para verificação do quantitativo mínimo de 12 câmeras ou pontos.</w:t>
      </w:r>
    </w:p>
    <w:p w14:paraId="651C7C85"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5.2. Da comprovação das atividades de instalação, configuração, manutenção e suporte</w:t>
      </w:r>
    </w:p>
    <w:p w14:paraId="10E1E68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questiona a demonstração das atividades técnicas previstas no item 9.30.1.3 do Termo de Referência.</w:t>
      </w:r>
    </w:p>
    <w:p w14:paraId="4555148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dispositivo exige experiência anterior em serviços que envolvam instalação de equipamentos de videomonitoramento, configuração de sistemas de gravação DVR/NVR, manutenção preventiva e corretiva e suporte técnico contínuo.</w:t>
      </w:r>
    </w:p>
    <w:p w14:paraId="6C00FF7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atestado apresentado contém referência a serviços de segurança eletrônica, instalação, locação, manutenção e monitoramento.</w:t>
      </w:r>
    </w:p>
    <w:p w14:paraId="7D56620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Entretanto, não individualiza suficientemente as atividades de configuração dos sistemas de gravação e os procedimentos de manutenção preventiva e corretiva e suporte técnico efetivamente realizados.</w:t>
      </w:r>
    </w:p>
    <w:p w14:paraId="75FCB8D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se exige que o contrato anterior apresente identidade absoluta com o objeto licitado, nem que os documentos reproduzam literalmente as expressões do edital.</w:t>
      </w:r>
    </w:p>
    <w:p w14:paraId="7B4BA60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É necessário, contudo, demonstrar que a experiência anterior possui características técnicas e operacionais compatíveis com as exigências estabelecidas.</w:t>
      </w:r>
    </w:p>
    <w:p w14:paraId="202E6FD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simples referência a monitoramento eletrônico não comprova, isoladamente, a execução de todas as atividades de configuração, manutenção e suporte técnico exigidas.</w:t>
      </w:r>
    </w:p>
    <w:p w14:paraId="308504E3"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deverá ser solicitada documentação complementar que esclareça as atividades efetivamente executadas e permita avaliação técnica fundamentada de sua compatibilidade com o objeto.</w:t>
      </w:r>
    </w:p>
    <w:p w14:paraId="7A194F61"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5.3. Da qualificação técnico-profissional</w:t>
      </w:r>
    </w:p>
    <w:p w14:paraId="3807310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também questiona a suficiência da comprovação da experiência profissional de Rodrigo Pamplona da Silva.</w:t>
      </w:r>
    </w:p>
    <w:p w14:paraId="06F1A07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As certidões apresentadas comprovam o registro do profissional perante o conselho competente, e a documentação contém registros de responsabilidade técnica.</w:t>
      </w:r>
    </w:p>
    <w:p w14:paraId="7EA56F1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Entretanto, o item 9.37 do Termo de Referência exige experiência anterior em serviços de características semelhantes, incluindo instalação e configuração de sistemas de CFTV, implantação de videomonitoramento e manutenção preventiva e corretiva de sistemas de segurança eletrônica.</w:t>
      </w:r>
    </w:p>
    <w:p w14:paraId="2BA37CE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É necessário distinguir a comprovação de vínculo ou responsabilidade técnica perante determinada empresa da comprovação de experiência anterior efetivamente adquirida na execução dos serviços.</w:t>
      </w:r>
    </w:p>
    <w:p w14:paraId="39FA8E2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TRT de cargo ou função, isoladamente, não substitui a demonstração da experiência técnico-profissional exigida.</w:t>
      </w:r>
    </w:p>
    <w:p w14:paraId="5C2BE31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Por outro lado, a CAT apresentada e o atestado vinculado deverão ser avaliados conjuntamente, considerando as atividades neles registradas e os esclarecimentos eventualmente obtidos.</w:t>
      </w:r>
    </w:p>
    <w:p w14:paraId="1AB3549A"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é necessária avaliação técnica complementar, sem que a documentação atualmente identificada permita afirmar ausência absoluta de experiência profissional.</w:t>
      </w:r>
    </w:p>
    <w:p w14:paraId="6CC165B8"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lastRenderedPageBreak/>
        <w:t>5.4. Das divergências na identificação da executora e no local de execução</w:t>
      </w:r>
    </w:p>
    <w:p w14:paraId="5268328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recorrente aponta divergências entre a CAT e o atestado apresentado, especialmente quanto à identificação da empresa executora, do profissional responsável e do endereço dos serviços.</w:t>
      </w:r>
    </w:p>
    <w:p w14:paraId="0266B05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Na CAT consta campo destinado à empresa contratada sem preenchimento, enquanto a PAMPLONA &amp; PAMPLONA LTDA. aparece identificada em outro campo.</w:t>
      </w:r>
    </w:p>
    <w:p w14:paraId="3888EBC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atestado, por sua vez, contém referências ao profissional Rodrigo Pamplona da Silva e à pessoa jurídica recorrida.</w:t>
      </w:r>
    </w:p>
    <w:p w14:paraId="77C90A4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Também se observa diferença entre o endereço da obra ou serviço informado na CAT e o local indicado como sede da entidade contratante.</w:t>
      </w:r>
    </w:p>
    <w:p w14:paraId="769C3B5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Tais circunstâncias não demonstram, por si, falsidade documental, irregularidade contratual ou inexistência dos serviços.</w:t>
      </w:r>
    </w:p>
    <w:p w14:paraId="629DEBB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Contudo, justificam a verificação da legitimidade do atestado e da efetiva participação da pessoa jurídica licitante na execução do contrato.</w:t>
      </w:r>
    </w:p>
    <w:p w14:paraId="5F69E88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itens 9.30.4 e 9.32 do Termo de Referência permitem a verificação junto à entidade emissora, inclusive mediante solicitação do contrato originário e de documentos pertinentes.</w:t>
      </w:r>
    </w:p>
    <w:p w14:paraId="7D0B9E8C"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determina-se a confirmação documental da identidade da executora, do local dos serviços e das atividades efetivamente realizadas.</w:t>
      </w:r>
    </w:p>
    <w:p w14:paraId="41CE5094"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5.5. Da documentação econômico-financeira de 2024</w:t>
      </w:r>
    </w:p>
    <w:p w14:paraId="22F6110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BLOCK ALERT também questiona a ausência das demonstrações contábeis e da comprovação dos índices referentes ao exercício de 2024.</w:t>
      </w:r>
    </w:p>
    <w:p w14:paraId="54F7725C"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Conforme examinado no item 4.3 desta decisão, a documentação disponibilizada não permite concluir pelo atendimento integral ao item 9.23 do Termo de Referência.</w:t>
      </w:r>
    </w:p>
    <w:p w14:paraId="33EB1E3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resultados apresentados para 2025 são superiores ao mínimo exigido, mas não substituem a comprovação correspondente a 2024.</w:t>
      </w:r>
    </w:p>
    <w:p w14:paraId="5DF237C8"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condição de empresa constituída em 2006 afasta a exceção prevista para pessoas jurídicas com menos de dois anos de existência.</w:t>
      </w:r>
    </w:p>
    <w:p w14:paraId="3052E8C5"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determina-se a verificação e, quando juridicamente admissível e necessária, a complementação da documentação econômico-financeira referente ao exercício de 2024.</w:t>
      </w:r>
    </w:p>
    <w:p w14:paraId="77B8A3BB"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5.6. Da prioridade de contratação de fornecedores locais</w:t>
      </w:r>
    </w:p>
    <w:p w14:paraId="016E38C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BLOCK ALERT questiona a demonstração dos pressupostos necessários à aplicação da prioridade local em favor da PAMPLONA &amp; PAMPLONA LTDA.</w:t>
      </w:r>
    </w:p>
    <w:p w14:paraId="7C8580F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item 6.22.5 do edital prevê prioridade para empresas localizadas no Município de Lambari que ofertem valor final dentro do limite de 10% estabelecido no Decreto Municipal nº 4.681/2024.</w:t>
      </w:r>
    </w:p>
    <w:p w14:paraId="28B1469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documentação societária e o relatório do SICAF confirmam que a recorrida possui sede em Lambari/MG e está cadastrada como microempresa.</w:t>
      </w:r>
    </w:p>
    <w:p w14:paraId="33ED0EF4"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proposta da recorrida, no valor de R$ 36.500,00, apresenta diferença de R$ 2.012,00 em relação ao valor de R$ 34.488,00 informado pela BLOCK ALERT, correspondendo a aproximadamente 5,83%.</w:t>
      </w:r>
    </w:p>
    <w:p w14:paraId="28637E2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comparação deverá ser confirmada com os registros oficiais da etapa competitiva, inclusive quanto à classificação das propostas e à aplicação do benefício.</w:t>
      </w:r>
    </w:p>
    <w:p w14:paraId="0BEBA45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comprovação da sede local e da condição de microempresa, entretanto, não dispensa o atendimento dos demais pressupostos legais e regulamentares.</w:t>
      </w:r>
    </w:p>
    <w:p w14:paraId="6A0D69D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art. 49, inciso II, da Lei Complementar nº 123/2006 estabelece restrição à aplicação do tratamento diferenciado quando inexistirem, no mínimo, três fornecedores competitivos enquadrados como microempresas ou empresas de pequeno porte, sediados local ou regionalmente e capazes de cumprir as exigências do instrumento convocatório.</w:t>
      </w:r>
    </w:p>
    <w:p w14:paraId="1FA21FB8"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A verificação desse requisito não depende necessariamente da participação efetiva de três fornecedores na sessão pública, mas da demonstração da existência de mercado potencial competitivo e apto.</w:t>
      </w:r>
    </w:p>
    <w:p w14:paraId="29A79BA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Administração deverá, portanto, identificar os elementos da fase preparatória utilizados para justificar a prioridade local, considerando as condições concretas da contratação.</w:t>
      </w:r>
    </w:p>
    <w:p w14:paraId="1E0C20C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há, no conjunto documental examinado nesta análise, elementos suficientes para afirmar que tal justificativa inexiste no processo administrativo, tampouco para concluir definitivamente pela regularidade ou irregularidade da aplicação do benefício.</w:t>
      </w:r>
    </w:p>
    <w:p w14:paraId="52523F78"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Eventual deficiência deverá ser avaliada segundo sua natureza e seus efeitos sobre o julgamento e a competitividade.</w:t>
      </w:r>
    </w:p>
    <w:p w14:paraId="3859BBE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Ressalta-se que o edital também restringiu a participação a microempresas e empresas de pequeno porte, de modo que eventual irregularidade dos pressupostos legais do tratamento favorecido poderá exigir exame mais amplo da própria estrutura do procedimento licitatório.</w:t>
      </w:r>
    </w:p>
    <w:p w14:paraId="6589860C" w14:textId="77777777" w:rsidR="00722FC6" w:rsidRDefault="00722FC6" w:rsidP="00722FC6">
      <w:pPr>
        <w:spacing w:after="120"/>
        <w:jc w:val="both"/>
        <w:rPr>
          <w:rFonts w:ascii="Arial" w:hAnsi="Arial" w:cs="Arial"/>
          <w:sz w:val="20"/>
          <w:szCs w:val="20"/>
        </w:rPr>
      </w:pPr>
      <w:r w:rsidRPr="00722FC6">
        <w:rPr>
          <w:rFonts w:ascii="Arial" w:hAnsi="Arial" w:cs="Arial"/>
          <w:b/>
          <w:bCs/>
          <w:sz w:val="20"/>
          <w:szCs w:val="20"/>
        </w:rPr>
        <w:t>Conclusão:</w:t>
      </w:r>
      <w:r w:rsidRPr="00722FC6">
        <w:rPr>
          <w:rFonts w:ascii="Arial" w:hAnsi="Arial" w:cs="Arial"/>
          <w:sz w:val="20"/>
          <w:szCs w:val="20"/>
        </w:rPr>
        <w:t xml:space="preserve"> determina-se a conferência da documentação da fase preparatória que fundamentou a aplicação da prioridade local, com manifestação expressa sobre sua regularidade.</w:t>
      </w:r>
    </w:p>
    <w:p w14:paraId="143AB82A" w14:textId="77777777" w:rsidR="00A55639" w:rsidRPr="00722FC6" w:rsidRDefault="00A55639" w:rsidP="00722FC6">
      <w:pPr>
        <w:spacing w:after="120"/>
        <w:jc w:val="both"/>
        <w:rPr>
          <w:rFonts w:ascii="Arial" w:hAnsi="Arial" w:cs="Arial"/>
          <w:sz w:val="20"/>
          <w:szCs w:val="20"/>
        </w:rPr>
      </w:pPr>
    </w:p>
    <w:p w14:paraId="67E855FF"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VI – DA HABILITAÇÃO JURÍDICA, FISCAL E CADASTRAL DA RECORRIDA</w:t>
      </w:r>
    </w:p>
    <w:p w14:paraId="5737F718"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Além dos documentos questionados nos recursos, foram considerados o contrato social da recorrida, o relatório de credenciamento e a declaração de situação do fornecedor emitidos pelo SICAF em 06/10/2026, bem como as certidões que integram a documentação de habilitação.</w:t>
      </w:r>
    </w:p>
    <w:p w14:paraId="190F3D4C"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relatório do SICAF identifica a PAMPLONA &amp; PAMPLONA LTDA. como microempresa credenciada, sediada em Lambari/MG, sem registros de impedimentos de licitar.</w:t>
      </w:r>
    </w:p>
    <w:p w14:paraId="78AF3D7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Constam, entretanto, pendências cadastrais nos níveis II e IV do sistema.</w:t>
      </w:r>
    </w:p>
    <w:p w14:paraId="75D5C23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Quanto à habilitação jurídica, a empresa apresentou contrato social registrado na Junta Comercial do Estado de Minas Gerais, além de certidão simplificada emitida em 02/09/2026.</w:t>
      </w:r>
    </w:p>
    <w:p w14:paraId="2487A20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Os documentos identificam a pessoa jurídica, seus administradores, a sede e atividades econômicas compatíveis com sistemas de segurança eletrônica, instalação, manutenção e locação de equipamentos de CFTV.</w:t>
      </w:r>
    </w:p>
    <w:p w14:paraId="026094E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Quanto à regularidade fiscal, foram apresentadas certidões estaduais e municipais válidas na data da sessão, apesar de constarem registros antigos vencidos no SICAF.</w:t>
      </w:r>
    </w:p>
    <w:p w14:paraId="4E3C528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Também foram identificados comprovantes válidos de regularidade perante a Receita Federal e a Procuradoria-Geral da Fazenda Nacional, o FGTS e a Justiça do Trabalho.</w:t>
      </w:r>
    </w:p>
    <w:p w14:paraId="7B3605BD"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simples desatualização de determinado registro cadastral não constitui, isoladamente, fundamento suficiente para inabilitação quando os requisitos correspondentes estão comprovados por documentos válidos apresentados no processo.</w:t>
      </w:r>
    </w:p>
    <w:p w14:paraId="6287239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Assim, ressalvadas as conferências ordinárias de autenticidade e validade, não foram identificadas, nesses aspectos, irregularidades que justifiquem a inabilitação da recorrida.</w:t>
      </w:r>
    </w:p>
    <w:p w14:paraId="756C278C"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t>As pendências relevantes à presente análise permanecem concentradas na qualificação técnico-operacional e técnico-profissional, na comprovação econômico-financeira de 2024 e na regularidade dos pressupostos para aplicação da prioridade local.</w:t>
      </w:r>
    </w:p>
    <w:p w14:paraId="491160CF" w14:textId="77777777" w:rsidR="00A55639" w:rsidRPr="00722FC6" w:rsidRDefault="00A55639" w:rsidP="00722FC6">
      <w:pPr>
        <w:spacing w:after="120"/>
        <w:jc w:val="both"/>
        <w:rPr>
          <w:rFonts w:ascii="Arial" w:hAnsi="Arial" w:cs="Arial"/>
          <w:sz w:val="20"/>
          <w:szCs w:val="20"/>
        </w:rPr>
      </w:pPr>
    </w:p>
    <w:p w14:paraId="513616B3"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VII – DA NECESSIDADE DE DILIGÊNCIAS COMPLEMENTARES</w:t>
      </w:r>
    </w:p>
    <w:p w14:paraId="2311C02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análise dos recursos e dos documentos apresentados permite afastar determinadas alegações, mas revela questões materiais que ainda demandam esclarecimento.</w:t>
      </w:r>
    </w:p>
    <w:p w14:paraId="7B05339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Em especial, não se encontra demonstrado de maneira objetiva, nos documentos examinados, o quantitativo mínimo de 12 câmeras ou pontos de monitoramento anteriormente executados pela recorrida.</w:t>
      </w:r>
    </w:p>
    <w:p w14:paraId="1199142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Também subsistem dúvidas quanto à abrangência dos serviços técnicos comprovados, à identidade da empresa executora e à demonstração da qualificação econômico-financeira relativa ao exercício de 2024.</w:t>
      </w:r>
    </w:p>
    <w:p w14:paraId="38A5FB9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Essas questões não podem ser desconsideradas, pois se relacionam a exigências expressamente previstas no instrumento convocatório.</w:t>
      </w:r>
    </w:p>
    <w:p w14:paraId="52B1EC9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Por outro lado, a Administração não deve determinar a imediata inabilitação sem avaliar a possibilidade de esclarecimento de condições preexistentes, dentro dos limites legalmente permitidos.</w:t>
      </w:r>
    </w:p>
    <w:p w14:paraId="0ECECFD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diligência deverá ter objeto certo e finalidade exclusivamente instrutória, não podendo servir à alteração da proposta, à substituição indevida de condições essenciais ou à criação posterior de requisito material de habilitação.</w:t>
      </w:r>
    </w:p>
    <w:p w14:paraId="2F0893FF"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realização de diligências também deverá observar a igualdade de tratamento entre licitantes, o registro dos atos no sistema eletrônico e o acesso dos interessados aos elementos relevantes da decisão.</w:t>
      </w:r>
    </w:p>
    <w:p w14:paraId="77226125"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t>Dessa forma, a complementação da instrução revela-se necessária à formação de decisão definitiva, motivada e juridicamente segura.</w:t>
      </w:r>
    </w:p>
    <w:p w14:paraId="521517DA" w14:textId="77777777" w:rsidR="00A55639" w:rsidRPr="00722FC6" w:rsidRDefault="00A55639" w:rsidP="00722FC6">
      <w:pPr>
        <w:spacing w:after="120"/>
        <w:jc w:val="both"/>
        <w:rPr>
          <w:rFonts w:ascii="Arial" w:hAnsi="Arial" w:cs="Arial"/>
          <w:sz w:val="20"/>
          <w:szCs w:val="20"/>
        </w:rPr>
      </w:pPr>
    </w:p>
    <w:p w14:paraId="7CF5BB87"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VIII – DECISÃO</w:t>
      </w:r>
    </w:p>
    <w:p w14:paraId="7A282A3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 xml:space="preserve">Diante de todo o exposto, com fundamento nos </w:t>
      </w:r>
      <w:proofErr w:type="spellStart"/>
      <w:r w:rsidRPr="00722FC6">
        <w:rPr>
          <w:rFonts w:ascii="Arial" w:hAnsi="Arial" w:cs="Arial"/>
          <w:sz w:val="20"/>
          <w:szCs w:val="20"/>
        </w:rPr>
        <w:t>arts</w:t>
      </w:r>
      <w:proofErr w:type="spellEnd"/>
      <w:r w:rsidRPr="00722FC6">
        <w:rPr>
          <w:rFonts w:ascii="Arial" w:hAnsi="Arial" w:cs="Arial"/>
          <w:sz w:val="20"/>
          <w:szCs w:val="20"/>
        </w:rPr>
        <w:t xml:space="preserve">. 5º, 64, 67, 69, 165 e 168 da Lei Federal nº 14.133/2021, na Lei Complementar nº 123/2006, no Decreto Municipal nº 4.681/2024 e nas disposições do Edital do Pregão Eletrônico nº 024/2026, </w:t>
      </w:r>
      <w:r w:rsidRPr="00722FC6">
        <w:rPr>
          <w:rFonts w:ascii="Arial" w:hAnsi="Arial" w:cs="Arial"/>
          <w:b/>
          <w:bCs/>
          <w:sz w:val="20"/>
          <w:szCs w:val="20"/>
        </w:rPr>
        <w:t>DECIDO:</w:t>
      </w:r>
    </w:p>
    <w:p w14:paraId="71E984A1"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8.1. Quanto ao processamento recursal</w:t>
      </w:r>
    </w:p>
    <w:p w14:paraId="26921B49"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I –</w:t>
      </w:r>
      <w:r w:rsidRPr="00722FC6">
        <w:rPr>
          <w:rFonts w:ascii="Arial" w:hAnsi="Arial" w:cs="Arial"/>
          <w:sz w:val="20"/>
          <w:szCs w:val="20"/>
        </w:rPr>
        <w:t xml:space="preserve"> DETERMINAR a certificação nos autos da regularidade da apresentação dos recursos administrativos interpostos pelas empresas INFRASEG PROTEÇÃO E SERVIÇOS e BLOCK ALERT SISTEMAS DE SEGURANÇA LTDA., especialmente quanto aos registros de intenção recursal e à tempestividade das razões.</w:t>
      </w:r>
    </w:p>
    <w:p w14:paraId="4E2D90AB"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II –</w:t>
      </w:r>
      <w:r w:rsidRPr="00722FC6">
        <w:rPr>
          <w:rFonts w:ascii="Arial" w:hAnsi="Arial" w:cs="Arial"/>
          <w:sz w:val="20"/>
          <w:szCs w:val="20"/>
        </w:rPr>
        <w:t xml:space="preserve"> REGISTRAR que a empresa PAMPLONA &amp; PAMPLONA LTDA. não apresentou contrarrazões, determinando a certificação do regular encerramento do prazo concedido para essa finalidade, sem atribuir à ausência de manifestação efeito de confissão ou concordância com os fundamentos recursais.</w:t>
      </w:r>
    </w:p>
    <w:p w14:paraId="4513BF18"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8.2. Quanto aos fundamentos já esclarecidos</w:t>
      </w:r>
    </w:p>
    <w:p w14:paraId="2196E6CB"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III –</w:t>
      </w:r>
      <w:r w:rsidRPr="00722FC6">
        <w:rPr>
          <w:rFonts w:ascii="Arial" w:hAnsi="Arial" w:cs="Arial"/>
          <w:sz w:val="20"/>
          <w:szCs w:val="20"/>
        </w:rPr>
        <w:t xml:space="preserve"> AFASTAR a alegação da INFRASEG relativa à ausência de proposta comercial, uma vez que o documento foi apresentado e contém os elementos essenciais à identificação e avaliação da oferta.</w:t>
      </w:r>
    </w:p>
    <w:p w14:paraId="3520C2E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IV –</w:t>
      </w:r>
      <w:r w:rsidRPr="00722FC6">
        <w:rPr>
          <w:rFonts w:ascii="Arial" w:hAnsi="Arial" w:cs="Arial"/>
          <w:sz w:val="20"/>
          <w:szCs w:val="20"/>
        </w:rPr>
        <w:t xml:space="preserve"> AFASTAR a alegação da INFRASEG relativa à ausência da certidão de registro e regularidade profissional da pessoa física indicada como responsável técnico, considerando as certidões apresentadas perante o Conselho Regional dos Técnicos Industriais de Minas Gerais.</w:t>
      </w:r>
    </w:p>
    <w:p w14:paraId="44E0F00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V –</w:t>
      </w:r>
      <w:r w:rsidRPr="00722FC6">
        <w:rPr>
          <w:rFonts w:ascii="Arial" w:hAnsi="Arial" w:cs="Arial"/>
          <w:sz w:val="20"/>
          <w:szCs w:val="20"/>
        </w:rPr>
        <w:t xml:space="preserve"> RECONHECER que a documentação jurídica e fiscal apresentada permite, em princípio, comprovar os requisitos correspondentes, não constituindo as pendências cadastrais identificadas no SICAF, isoladamente, motivo suficiente para inabilitação, ressalvadas as verificações de autenticidade e validade.</w:t>
      </w:r>
    </w:p>
    <w:p w14:paraId="04642E09"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8.3. Quanto à qualificação técnica</w:t>
      </w:r>
    </w:p>
    <w:p w14:paraId="1246B05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VI –</w:t>
      </w:r>
      <w:r w:rsidRPr="00722FC6">
        <w:rPr>
          <w:rFonts w:ascii="Arial" w:hAnsi="Arial" w:cs="Arial"/>
          <w:sz w:val="20"/>
          <w:szCs w:val="20"/>
        </w:rPr>
        <w:t xml:space="preserve"> DETERMINAR a realização de diligência junto à empresa PAMPLONA &amp; PAMPLONA LTDA., para esclarecimento e comprovação documental dos seguintes pontos:</w:t>
      </w:r>
    </w:p>
    <w:p w14:paraId="3CE6CAE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apresentação do Contrato nº 002, celebrado em 25/02/2022 com a Caixa Escolar Paulo Alcoforado Cavalcante, que fundamentou o atestado técnico apresentado;</w:t>
      </w:r>
    </w:p>
    <w:p w14:paraId="7D01B6BB"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b) apresentação de documentos que permitam identificar objetivamente a quantidade de câmeras ou pontos de monitoramento efetivamente instalados ou mantidos;</w:t>
      </w:r>
    </w:p>
    <w:p w14:paraId="45CC2F7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 esclarecimento da informação quantitativa registrada na CAT nº 1724654/2024, especialmente quanto à utilização da unidade "ampère";</w:t>
      </w:r>
    </w:p>
    <w:p w14:paraId="4545310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lastRenderedPageBreak/>
        <w:t>d) apresentação de elementos que comprovem as atividades efetivamente executadas, abrangendo instalação, configuração de DVR/NVR, manutenção preventiva e corretiva e suporte técnico;</w:t>
      </w:r>
    </w:p>
    <w:p w14:paraId="0A75F897"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 esclarecimento da identidade da pessoa jurídica que executou o contrato anterior;</w:t>
      </w:r>
    </w:p>
    <w:p w14:paraId="6ACE6AAE"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f) esclarecimento das divergências entre os endereços registrados na CAT e no atestado;</w:t>
      </w:r>
    </w:p>
    <w:p w14:paraId="0BDF8D6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g) indicação dos documentos que comprovam a experiência técnico-profissional do responsável técnico nas atividades previstas no item 9.37 do Termo de Referência;</w:t>
      </w:r>
    </w:p>
    <w:p w14:paraId="1A40430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h) quando existentes, indicação de outros atestados ou documentos relativos a serviços executados anteriormente à abertura do certame, cuja apresentação seja juridicamente admissível, observadas as condições estabelecidas no edital.</w:t>
      </w:r>
    </w:p>
    <w:p w14:paraId="2E57DCCD"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VII –</w:t>
      </w:r>
      <w:r w:rsidRPr="00722FC6">
        <w:rPr>
          <w:rFonts w:ascii="Arial" w:hAnsi="Arial" w:cs="Arial"/>
          <w:sz w:val="20"/>
          <w:szCs w:val="20"/>
        </w:rPr>
        <w:t xml:space="preserve"> DETERMINAR que a Administração realize, independentemente da manifestação da licitante, diligência junto à Caixa Escolar Paulo Alcoforado Cavalcante, para confirmar:</w:t>
      </w:r>
    </w:p>
    <w:p w14:paraId="7BBE70F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 autenticidade do atestado apresentado;</w:t>
      </w:r>
    </w:p>
    <w:p w14:paraId="5400EBC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b) a identificação da pessoa jurídica efetivamente contratada e executora;</w:t>
      </w:r>
    </w:p>
    <w:p w14:paraId="42612926"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c) o local e o período de execução;</w:t>
      </w:r>
    </w:p>
    <w:p w14:paraId="24746F12"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d) a quantidade de câmeras ou pontos de monitoramento abrangidos;</w:t>
      </w:r>
    </w:p>
    <w:p w14:paraId="21D5DE5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e) a natureza dos serviços executados;</w:t>
      </w:r>
    </w:p>
    <w:p w14:paraId="24BF1FB9"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f) a existência de documentação contratual ou operacional que sustente as informações prestadas.</w:t>
      </w:r>
    </w:p>
    <w:p w14:paraId="5330C290"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VIII –</w:t>
      </w:r>
      <w:r w:rsidRPr="00722FC6">
        <w:rPr>
          <w:rFonts w:ascii="Arial" w:hAnsi="Arial" w:cs="Arial"/>
          <w:sz w:val="20"/>
          <w:szCs w:val="20"/>
        </w:rPr>
        <w:t xml:space="preserve"> DETERMINAR que o setor técnico competente do SAAE emita manifestação fundamentada sobre a documentação obtida, indicando expressamente o atendimento ou não dos requisitos previstos nos itens 9.30 e 9.37 do Termo de Referência, com análise individualizada da capacidade técnico-operacional e da qualificação técnico-profissional.</w:t>
      </w:r>
    </w:p>
    <w:p w14:paraId="10A4FDA9"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8.4. Quanto à qualificação econômico-financeira</w:t>
      </w:r>
    </w:p>
    <w:p w14:paraId="24A3ECBA"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IX –</w:t>
      </w:r>
      <w:r w:rsidRPr="00722FC6">
        <w:rPr>
          <w:rFonts w:ascii="Arial" w:hAnsi="Arial" w:cs="Arial"/>
          <w:sz w:val="20"/>
          <w:szCs w:val="20"/>
        </w:rPr>
        <w:t xml:space="preserve"> DETERMINAR que seja verificada a existência, nos autos ou no SICAF, das demonstrações contábeis relativas ao exercício de 2024.</w:t>
      </w:r>
    </w:p>
    <w:p w14:paraId="3FBD551E"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 –</w:t>
      </w:r>
      <w:r w:rsidRPr="00722FC6">
        <w:rPr>
          <w:rFonts w:ascii="Arial" w:hAnsi="Arial" w:cs="Arial"/>
          <w:sz w:val="20"/>
          <w:szCs w:val="20"/>
        </w:rPr>
        <w:t xml:space="preserve"> Caso os documentos não estejam disponíveis, CONVOCAR a empresa PAMPLONA &amp; PAMPLONA LTDA. para apresentação, em diligência e nos limites legalmente admitidos, do balanço patrimonial, Demonstração do Resultado do Exercício e demais demonstrações contábeis exigíveis referentes a 2024, acompanhados da comprovação dos índices econômico-financeiros pertinentes.</w:t>
      </w:r>
    </w:p>
    <w:p w14:paraId="5D77268E"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XI –</w:t>
      </w:r>
      <w:r w:rsidRPr="00722FC6">
        <w:rPr>
          <w:rFonts w:ascii="Arial" w:hAnsi="Arial" w:cs="Arial"/>
          <w:sz w:val="20"/>
          <w:szCs w:val="20"/>
        </w:rPr>
        <w:t xml:space="preserve"> DETERMINAR que o setor competente avalie a regularidade das demonstrações contábeis apresentadas, considerando o regime de escrituração aplicável à empresa, os registros existentes, os critérios do edital e a legislação pertinente, emitindo manifestação conclusiva sobre o atendimento dos itens 9.21 a 9.26 do Termo de Referência.</w:t>
      </w:r>
    </w:p>
    <w:p w14:paraId="3F0EFA71"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8.5. Quanto à prioridade de contratação local</w:t>
      </w:r>
    </w:p>
    <w:p w14:paraId="3CAA8742"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XII –</w:t>
      </w:r>
      <w:r w:rsidRPr="00722FC6">
        <w:rPr>
          <w:rFonts w:ascii="Arial" w:hAnsi="Arial" w:cs="Arial"/>
          <w:sz w:val="20"/>
          <w:szCs w:val="20"/>
        </w:rPr>
        <w:t xml:space="preserve"> DETERMINAR que sejam identificados e juntados, quando ainda não constantes dos autos, os documentos da fase preparatória que fundamentaram a aplicação da prioridade de contratação local prevista no item 6.22.5 do edital e no Decreto Municipal nº 4.681/2024.</w:t>
      </w:r>
    </w:p>
    <w:p w14:paraId="7513D061"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XIII –</w:t>
      </w:r>
      <w:r w:rsidRPr="00722FC6">
        <w:rPr>
          <w:rFonts w:ascii="Arial" w:hAnsi="Arial" w:cs="Arial"/>
          <w:sz w:val="20"/>
          <w:szCs w:val="20"/>
        </w:rPr>
        <w:t xml:space="preserve"> DETERMINAR a verificação dos pressupostos legais e regulamentares da prioridade, especialmente quanto à existência de fornecedores competitivos enquadrados como microempresas ou empresas de pequeno porte, sediados local ou regionalmente e capazes de atender às exigências do instrumento convocatório, bem como quanto à compatibilidade da medida com os critérios legais de competitividade e vantajosidade.</w:t>
      </w:r>
    </w:p>
    <w:p w14:paraId="142E1E8A"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XIV –</w:t>
      </w:r>
      <w:r w:rsidRPr="00722FC6">
        <w:rPr>
          <w:rFonts w:ascii="Arial" w:hAnsi="Arial" w:cs="Arial"/>
          <w:sz w:val="20"/>
          <w:szCs w:val="20"/>
        </w:rPr>
        <w:t xml:space="preserve"> DETERMINAR que os registros da etapa competitiva sejam confrontados com a decisão de aplicação da prioridade local, inclusive quanto aos valores ofertados, à classificação dos licitantes e ao limite percentual estabelecido no edital.</w:t>
      </w:r>
    </w:p>
    <w:p w14:paraId="48564D01"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8.6. Quanto ao procedimento das diligências</w:t>
      </w:r>
    </w:p>
    <w:p w14:paraId="31D4F409"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XV –</w:t>
      </w:r>
      <w:r w:rsidRPr="00722FC6">
        <w:rPr>
          <w:rFonts w:ascii="Arial" w:hAnsi="Arial" w:cs="Arial"/>
          <w:sz w:val="20"/>
          <w:szCs w:val="20"/>
        </w:rPr>
        <w:t xml:space="preserve"> DETERMINAR que a convocação da recorrida para apresentação de documentação complementar observe os meios oficiais do sistema eletrônico e o prazo de até 2 (duas) horas previsto </w:t>
      </w:r>
      <w:r w:rsidRPr="00722FC6">
        <w:rPr>
          <w:rFonts w:ascii="Arial" w:hAnsi="Arial" w:cs="Arial"/>
          <w:sz w:val="20"/>
          <w:szCs w:val="20"/>
        </w:rPr>
        <w:lastRenderedPageBreak/>
        <w:t>no item 8.15 do edital, contado da convocação correspondente, ressalvadas as verificações que devam ser promovidas diretamente pela Administração junto a órgãos públicos ou terceiros.</w:t>
      </w:r>
    </w:p>
    <w:p w14:paraId="51A2BA7C"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XVI –</w:t>
      </w:r>
      <w:r w:rsidRPr="00722FC6">
        <w:rPr>
          <w:rFonts w:ascii="Arial" w:hAnsi="Arial" w:cs="Arial"/>
          <w:sz w:val="20"/>
          <w:szCs w:val="20"/>
        </w:rPr>
        <w:t xml:space="preserve"> ESTABELECER que os documentos complementares somente poderão ser considerados quando destinados à comprovação de condições efetivamente existentes à época da abertura do certame, sendo vedada a utilização da diligência para constituição posterior de requisitos materiais de habilitação.</w:t>
      </w:r>
    </w:p>
    <w:p w14:paraId="6AD9103E"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XVII –</w:t>
      </w:r>
      <w:r w:rsidRPr="00722FC6">
        <w:rPr>
          <w:rFonts w:ascii="Arial" w:hAnsi="Arial" w:cs="Arial"/>
          <w:sz w:val="20"/>
          <w:szCs w:val="20"/>
        </w:rPr>
        <w:t xml:space="preserve"> DETERMINAR o registro nos autos de todas as solicitações, respostas, documentos e manifestações técnicas, com disponibilização aos interessados e garantia do contraditório quanto aos elementos novos relevantes que possam fundamentar a decisão final.</w:t>
      </w:r>
    </w:p>
    <w:p w14:paraId="24511BA0"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8.7. Quanto à conclusão do julgamento</w:t>
      </w:r>
    </w:p>
    <w:p w14:paraId="569DA1C4"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XVIII –</w:t>
      </w:r>
      <w:r w:rsidRPr="00722FC6">
        <w:rPr>
          <w:rFonts w:ascii="Arial" w:hAnsi="Arial" w:cs="Arial"/>
          <w:sz w:val="20"/>
          <w:szCs w:val="20"/>
        </w:rPr>
        <w:t xml:space="preserve"> MANTER os efeitos suspensivos dos recursos administrativos até a decisão final da autoridade competente, não devendo ser concluída a adjudicação ou homologação enquanto pendente a apreciação recursal.</w:t>
      </w:r>
    </w:p>
    <w:p w14:paraId="7853B178" w14:textId="77777777" w:rsidR="00722FC6" w:rsidRPr="00722FC6" w:rsidRDefault="00722FC6" w:rsidP="00722FC6">
      <w:pPr>
        <w:spacing w:after="120"/>
        <w:jc w:val="both"/>
        <w:rPr>
          <w:rFonts w:ascii="Arial" w:hAnsi="Arial" w:cs="Arial"/>
          <w:sz w:val="20"/>
          <w:szCs w:val="20"/>
        </w:rPr>
      </w:pPr>
      <w:r w:rsidRPr="00722FC6">
        <w:rPr>
          <w:rFonts w:ascii="Arial" w:hAnsi="Arial" w:cs="Arial"/>
          <w:b/>
          <w:bCs/>
          <w:sz w:val="20"/>
          <w:szCs w:val="20"/>
        </w:rPr>
        <w:t>XIX –</w:t>
      </w:r>
      <w:r w:rsidRPr="00722FC6">
        <w:rPr>
          <w:rFonts w:ascii="Arial" w:hAnsi="Arial" w:cs="Arial"/>
          <w:sz w:val="20"/>
          <w:szCs w:val="20"/>
        </w:rPr>
        <w:t xml:space="preserve"> RESERVAR o julgamento definitivo dos fundamentos ainda controvertidos para momento posterior à conclusão das diligências determinadas, quando será avaliada a manutenção ou reforma da decisão de habilitação da empresa PAMPLONA &amp; PAMPLONA LTDA.</w:t>
      </w:r>
    </w:p>
    <w:p w14:paraId="3DCC3D8F" w14:textId="77777777" w:rsidR="00722FC6" w:rsidRDefault="00722FC6" w:rsidP="00722FC6">
      <w:pPr>
        <w:spacing w:after="120"/>
        <w:jc w:val="both"/>
        <w:rPr>
          <w:rFonts w:ascii="Arial" w:hAnsi="Arial" w:cs="Arial"/>
          <w:sz w:val="20"/>
          <w:szCs w:val="20"/>
        </w:rPr>
      </w:pPr>
      <w:r w:rsidRPr="00722FC6">
        <w:rPr>
          <w:rFonts w:ascii="Arial" w:hAnsi="Arial" w:cs="Arial"/>
          <w:b/>
          <w:bCs/>
          <w:sz w:val="20"/>
          <w:szCs w:val="20"/>
        </w:rPr>
        <w:t>XX –</w:t>
      </w:r>
      <w:r w:rsidRPr="00722FC6">
        <w:rPr>
          <w:rFonts w:ascii="Arial" w:hAnsi="Arial" w:cs="Arial"/>
          <w:sz w:val="20"/>
          <w:szCs w:val="20"/>
        </w:rPr>
        <w:t xml:space="preserve"> DETERMINAR que, concluída a instrução complementar, os autos retornem ao pregoeiro para apreciação conclusiva e fundamentada de cada recurso, observando-se o procedimento previsto no art. 165, § 2º, da Lei nº 14.133/2021 e no item 10.4 do edital, inclusive o encaminhamento à autoridade superior na hipótese de não reconsideração da decisão recorrida.</w:t>
      </w:r>
    </w:p>
    <w:p w14:paraId="6BEAB367" w14:textId="77777777" w:rsidR="00A55639" w:rsidRPr="00722FC6" w:rsidRDefault="00A55639" w:rsidP="00722FC6">
      <w:pPr>
        <w:spacing w:after="120"/>
        <w:jc w:val="both"/>
        <w:rPr>
          <w:rFonts w:ascii="Arial" w:hAnsi="Arial" w:cs="Arial"/>
          <w:sz w:val="20"/>
          <w:szCs w:val="20"/>
        </w:rPr>
      </w:pPr>
    </w:p>
    <w:p w14:paraId="5F625F41" w14:textId="77777777" w:rsidR="00722FC6" w:rsidRPr="00722FC6" w:rsidRDefault="00722FC6" w:rsidP="00722FC6">
      <w:pPr>
        <w:spacing w:after="120"/>
        <w:jc w:val="both"/>
        <w:rPr>
          <w:rFonts w:ascii="Arial" w:hAnsi="Arial" w:cs="Arial"/>
          <w:b/>
          <w:bCs/>
          <w:sz w:val="20"/>
          <w:szCs w:val="20"/>
        </w:rPr>
      </w:pPr>
      <w:r w:rsidRPr="00722FC6">
        <w:rPr>
          <w:rFonts w:ascii="Arial" w:hAnsi="Arial" w:cs="Arial"/>
          <w:b/>
          <w:bCs/>
          <w:sz w:val="20"/>
          <w:szCs w:val="20"/>
        </w:rPr>
        <w:t>IX – DISPOSIÇÕES FINAIS</w:t>
      </w:r>
    </w:p>
    <w:p w14:paraId="5BED2551"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presente decisão possui natureza interlocutória, destinando-se à análise dos fundamentos já esclarecidos e à complementação da instrução necessária ao julgamento definitivo dos recursos administrativos.</w:t>
      </w:r>
    </w:p>
    <w:p w14:paraId="33BD7310"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O afastamento de determinadas alegações não significa confirmação integral da habilitação da empresa PAMPLONA &amp; PAMPLONA LTDA., assim como o reconhecimento de insuficiências documentais não representa declaração antecipada de inabilitação.</w:t>
      </w:r>
    </w:p>
    <w:p w14:paraId="05F3F01A"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decisão definitiva dependerá da comprovação objetiva do atendimento às exigências editalícias, da avaliação dos documentos obtidos em diligência e da verificação da regularidade dos critérios de julgamento aplicados ao certame.</w:t>
      </w:r>
    </w:p>
    <w:p w14:paraId="7A4ECD43"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A Administração Pública tem o dever de buscar a proposta mais vantajosa, respeitando integralmente os requisitos legais de habilitação e as condições estabelecidas no edital.</w:t>
      </w:r>
    </w:p>
    <w:p w14:paraId="3C258FE8"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Não se admite a exclusão de licitante por mero formalismo quando juridicamente possível o saneamento, tampouco a manutenção de habilitação sem demonstração de requisito material essencial.</w:t>
      </w:r>
    </w:p>
    <w:p w14:paraId="080E87D5" w14:textId="77777777" w:rsidR="00722FC6" w:rsidRDefault="00722FC6" w:rsidP="00722FC6">
      <w:pPr>
        <w:spacing w:after="120"/>
        <w:jc w:val="both"/>
        <w:rPr>
          <w:rFonts w:ascii="Arial" w:hAnsi="Arial" w:cs="Arial"/>
          <w:sz w:val="20"/>
          <w:szCs w:val="20"/>
        </w:rPr>
      </w:pPr>
      <w:r w:rsidRPr="00722FC6">
        <w:rPr>
          <w:rFonts w:ascii="Arial" w:hAnsi="Arial" w:cs="Arial"/>
          <w:sz w:val="20"/>
          <w:szCs w:val="20"/>
        </w:rPr>
        <w:t>A solução adotada busca preservar a legalidade, a isonomia, a competitividade, a eficiência e a segurança jurídica, assegurando que a contratação atenda efetivamente ao interesse público e às necessidades operacionais do SAAE de Lambari.</w:t>
      </w:r>
    </w:p>
    <w:p w14:paraId="2A09F434" w14:textId="77777777" w:rsidR="00A55639" w:rsidRPr="00722FC6" w:rsidRDefault="00A55639" w:rsidP="00722FC6">
      <w:pPr>
        <w:spacing w:after="120"/>
        <w:jc w:val="both"/>
        <w:rPr>
          <w:rFonts w:ascii="Arial" w:hAnsi="Arial" w:cs="Arial"/>
          <w:sz w:val="20"/>
          <w:szCs w:val="20"/>
        </w:rPr>
      </w:pPr>
    </w:p>
    <w:p w14:paraId="307DB3F9" w14:textId="77777777" w:rsidR="00722FC6" w:rsidRDefault="00722FC6" w:rsidP="00722FC6">
      <w:pPr>
        <w:spacing w:after="120"/>
        <w:jc w:val="both"/>
        <w:rPr>
          <w:rFonts w:ascii="Arial" w:hAnsi="Arial" w:cs="Arial"/>
          <w:b/>
          <w:bCs/>
          <w:sz w:val="20"/>
          <w:szCs w:val="20"/>
        </w:rPr>
      </w:pPr>
      <w:r w:rsidRPr="00722FC6">
        <w:rPr>
          <w:rFonts w:ascii="Arial" w:hAnsi="Arial" w:cs="Arial"/>
          <w:b/>
          <w:bCs/>
          <w:sz w:val="20"/>
          <w:szCs w:val="20"/>
        </w:rPr>
        <w:t>Publique-se. Registre-se. Intimem-se os interessados. Cumpra-se.</w:t>
      </w:r>
    </w:p>
    <w:p w14:paraId="63ADFC63" w14:textId="77777777" w:rsidR="00A55639" w:rsidRPr="00722FC6" w:rsidRDefault="00A55639" w:rsidP="00722FC6">
      <w:pPr>
        <w:spacing w:after="120"/>
        <w:jc w:val="both"/>
        <w:rPr>
          <w:rFonts w:ascii="Arial" w:hAnsi="Arial" w:cs="Arial"/>
          <w:sz w:val="20"/>
          <w:szCs w:val="20"/>
        </w:rPr>
      </w:pPr>
    </w:p>
    <w:p w14:paraId="616E16C5" w14:textId="77777777" w:rsidR="00722FC6" w:rsidRPr="00722FC6" w:rsidRDefault="00722FC6" w:rsidP="00722FC6">
      <w:pPr>
        <w:spacing w:after="120"/>
        <w:jc w:val="both"/>
        <w:rPr>
          <w:rFonts w:ascii="Arial" w:hAnsi="Arial" w:cs="Arial"/>
          <w:sz w:val="20"/>
          <w:szCs w:val="20"/>
        </w:rPr>
      </w:pPr>
      <w:r w:rsidRPr="00722FC6">
        <w:rPr>
          <w:rFonts w:ascii="Arial" w:hAnsi="Arial" w:cs="Arial"/>
          <w:sz w:val="20"/>
          <w:szCs w:val="20"/>
        </w:rPr>
        <w:t>Lambari/MG, ____ de outubro de 2026.</w:t>
      </w:r>
    </w:p>
    <w:p w14:paraId="3824A8C1" w14:textId="77777777" w:rsidR="00A55639" w:rsidRDefault="00A55639" w:rsidP="00722FC6">
      <w:pPr>
        <w:spacing w:after="120"/>
        <w:jc w:val="both"/>
        <w:rPr>
          <w:rFonts w:ascii="Arial" w:hAnsi="Arial" w:cs="Arial"/>
          <w:sz w:val="20"/>
          <w:szCs w:val="20"/>
        </w:rPr>
      </w:pPr>
    </w:p>
    <w:p w14:paraId="4D987FF4" w14:textId="54D937CB" w:rsidR="00A55639" w:rsidRDefault="00A55639" w:rsidP="00A55639">
      <w:pPr>
        <w:spacing w:after="120"/>
        <w:jc w:val="center"/>
        <w:rPr>
          <w:rFonts w:ascii="Arial" w:hAnsi="Arial" w:cs="Arial"/>
          <w:b/>
          <w:bCs/>
          <w:sz w:val="20"/>
          <w:szCs w:val="20"/>
        </w:rPr>
      </w:pPr>
      <w:r>
        <w:rPr>
          <w:rFonts w:ascii="Arial" w:hAnsi="Arial" w:cs="Arial"/>
          <w:b/>
          <w:bCs/>
          <w:sz w:val="20"/>
          <w:szCs w:val="20"/>
        </w:rPr>
        <w:t>PABLO LUIZ LOPES</w:t>
      </w:r>
    </w:p>
    <w:p w14:paraId="4F1881BC" w14:textId="77777777" w:rsidR="00A55639" w:rsidRDefault="00722FC6" w:rsidP="00A55639">
      <w:pPr>
        <w:spacing w:after="120"/>
        <w:jc w:val="center"/>
        <w:rPr>
          <w:rFonts w:ascii="Arial" w:hAnsi="Arial" w:cs="Arial"/>
          <w:b/>
          <w:bCs/>
          <w:sz w:val="20"/>
          <w:szCs w:val="20"/>
        </w:rPr>
      </w:pPr>
      <w:r w:rsidRPr="00722FC6">
        <w:rPr>
          <w:rFonts w:ascii="Arial" w:hAnsi="Arial" w:cs="Arial"/>
          <w:b/>
          <w:bCs/>
          <w:sz w:val="20"/>
          <w:szCs w:val="20"/>
        </w:rPr>
        <w:t>PREGOEIRO</w:t>
      </w:r>
    </w:p>
    <w:p w14:paraId="0627D73F" w14:textId="7A35FBB6" w:rsidR="00973E3A" w:rsidRPr="00722FC6" w:rsidRDefault="00722FC6" w:rsidP="00A55639">
      <w:pPr>
        <w:spacing w:after="120"/>
        <w:jc w:val="center"/>
        <w:rPr>
          <w:rFonts w:ascii="Arial" w:hAnsi="Arial" w:cs="Arial"/>
          <w:sz w:val="20"/>
          <w:szCs w:val="20"/>
        </w:rPr>
      </w:pPr>
      <w:r w:rsidRPr="00722FC6">
        <w:rPr>
          <w:rFonts w:ascii="Arial" w:hAnsi="Arial" w:cs="Arial"/>
          <w:sz w:val="20"/>
          <w:szCs w:val="20"/>
        </w:rPr>
        <w:t>Serviço Autônomo de Água e Esgoto de Lambari – MG</w:t>
      </w:r>
    </w:p>
    <w:sectPr w:rsidR="00973E3A" w:rsidRPr="00722FC6" w:rsidSect="004C4EF9">
      <w:headerReference w:type="default" r:id="rId11"/>
      <w:footerReference w:type="default" r:id="rId12"/>
      <w:pgSz w:w="11906" w:h="16838"/>
      <w:pgMar w:top="1701"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81FCF" w14:textId="77777777" w:rsidR="0024054E" w:rsidRDefault="0024054E">
      <w:r>
        <w:separator/>
      </w:r>
    </w:p>
  </w:endnote>
  <w:endnote w:type="continuationSeparator" w:id="0">
    <w:p w14:paraId="25E76F17" w14:textId="77777777" w:rsidR="0024054E" w:rsidRDefault="0024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Malgun Gothic"/>
    <w:charset w:val="00"/>
    <w:family w:val="swiss"/>
    <w:pitch w:val="variable"/>
    <w:sig w:usb0="800000AF" w:usb1="1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badi MT Condensed Light">
    <w:altName w:val="Calibri"/>
    <w:panose1 w:val="020B0306030101010103"/>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93104"/>
      <w:docPartObj>
        <w:docPartGallery w:val="Page Numbers (Bottom of Page)"/>
        <w:docPartUnique/>
      </w:docPartObj>
    </w:sdtPr>
    <w:sdtEndPr/>
    <w:sdtContent>
      <w:sdt>
        <w:sdtPr>
          <w:id w:val="-1769616900"/>
          <w:docPartObj>
            <w:docPartGallery w:val="Page Numbers (Top of Page)"/>
            <w:docPartUnique/>
          </w:docPartObj>
        </w:sdtPr>
        <w:sdtEndPr/>
        <w:sdtContent>
          <w:p w14:paraId="523CCB73" w14:textId="583CFB5E" w:rsidR="00395B05" w:rsidRDefault="00395B05">
            <w:pPr>
              <w:pStyle w:val="Rodap"/>
              <w:jc w:val="right"/>
            </w:pPr>
            <w:r w:rsidRPr="00395B05">
              <w:rPr>
                <w:rFonts w:ascii="Arial" w:hAnsi="Arial" w:cs="Arial"/>
                <w:sz w:val="20"/>
                <w:szCs w:val="20"/>
              </w:rPr>
              <w:t xml:space="preserve">Página </w:t>
            </w:r>
            <w:r w:rsidRPr="00395B05">
              <w:rPr>
                <w:rFonts w:ascii="Arial" w:hAnsi="Arial" w:cs="Arial"/>
                <w:b/>
                <w:bCs/>
                <w:sz w:val="20"/>
                <w:szCs w:val="20"/>
              </w:rPr>
              <w:fldChar w:fldCharType="begin"/>
            </w:r>
            <w:r w:rsidRPr="00395B05">
              <w:rPr>
                <w:rFonts w:ascii="Arial" w:hAnsi="Arial" w:cs="Arial"/>
                <w:b/>
                <w:bCs/>
                <w:sz w:val="20"/>
                <w:szCs w:val="20"/>
              </w:rPr>
              <w:instrText>PAGE</w:instrText>
            </w:r>
            <w:r w:rsidRPr="00395B05">
              <w:rPr>
                <w:rFonts w:ascii="Arial" w:hAnsi="Arial" w:cs="Arial"/>
                <w:b/>
                <w:bCs/>
                <w:sz w:val="20"/>
                <w:szCs w:val="20"/>
              </w:rPr>
              <w:fldChar w:fldCharType="separate"/>
            </w:r>
            <w:r w:rsidR="00E978AC">
              <w:rPr>
                <w:rFonts w:ascii="Arial" w:hAnsi="Arial" w:cs="Arial"/>
                <w:b/>
                <w:bCs/>
                <w:noProof/>
                <w:sz w:val="20"/>
                <w:szCs w:val="20"/>
              </w:rPr>
              <w:t>2</w:t>
            </w:r>
            <w:r w:rsidRPr="00395B05">
              <w:rPr>
                <w:rFonts w:ascii="Arial" w:hAnsi="Arial" w:cs="Arial"/>
                <w:b/>
                <w:bCs/>
                <w:sz w:val="20"/>
                <w:szCs w:val="20"/>
              </w:rPr>
              <w:fldChar w:fldCharType="end"/>
            </w:r>
            <w:r w:rsidRPr="00395B05">
              <w:rPr>
                <w:rFonts w:ascii="Arial" w:hAnsi="Arial" w:cs="Arial"/>
                <w:sz w:val="20"/>
                <w:szCs w:val="20"/>
              </w:rPr>
              <w:t xml:space="preserve"> de </w:t>
            </w:r>
            <w:r w:rsidRPr="00395B05">
              <w:rPr>
                <w:rFonts w:ascii="Arial" w:hAnsi="Arial" w:cs="Arial"/>
                <w:b/>
                <w:bCs/>
                <w:sz w:val="20"/>
                <w:szCs w:val="20"/>
              </w:rPr>
              <w:fldChar w:fldCharType="begin"/>
            </w:r>
            <w:r w:rsidRPr="00395B05">
              <w:rPr>
                <w:rFonts w:ascii="Arial" w:hAnsi="Arial" w:cs="Arial"/>
                <w:b/>
                <w:bCs/>
                <w:sz w:val="20"/>
                <w:szCs w:val="20"/>
              </w:rPr>
              <w:instrText>NUMPAGES</w:instrText>
            </w:r>
            <w:r w:rsidRPr="00395B05">
              <w:rPr>
                <w:rFonts w:ascii="Arial" w:hAnsi="Arial" w:cs="Arial"/>
                <w:b/>
                <w:bCs/>
                <w:sz w:val="20"/>
                <w:szCs w:val="20"/>
              </w:rPr>
              <w:fldChar w:fldCharType="separate"/>
            </w:r>
            <w:r w:rsidR="00E978AC">
              <w:rPr>
                <w:rFonts w:ascii="Arial" w:hAnsi="Arial" w:cs="Arial"/>
                <w:b/>
                <w:bCs/>
                <w:noProof/>
                <w:sz w:val="20"/>
                <w:szCs w:val="20"/>
              </w:rPr>
              <w:t>2</w:t>
            </w:r>
            <w:r w:rsidRPr="00395B05">
              <w:rPr>
                <w:rFonts w:ascii="Arial" w:hAnsi="Arial" w:cs="Arial"/>
                <w:b/>
                <w:bCs/>
                <w:sz w:val="20"/>
                <w:szCs w:val="20"/>
              </w:rPr>
              <w:fldChar w:fldCharType="end"/>
            </w:r>
          </w:p>
        </w:sdtContent>
      </w:sdt>
    </w:sdtContent>
  </w:sdt>
  <w:p w14:paraId="15B754AF" w14:textId="77777777" w:rsidR="0085724C" w:rsidRPr="00395B05" w:rsidRDefault="0085724C">
    <w:pP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72DA4" w14:textId="77777777" w:rsidR="0024054E" w:rsidRDefault="0024054E">
      <w:r>
        <w:separator/>
      </w:r>
    </w:p>
  </w:footnote>
  <w:footnote w:type="continuationSeparator" w:id="0">
    <w:p w14:paraId="4879B5E4" w14:textId="77777777" w:rsidR="0024054E" w:rsidRDefault="00240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14" w:type="dxa"/>
      <w:jc w:val="center"/>
      <w:tblLayout w:type="fixed"/>
      <w:tblCellMar>
        <w:left w:w="70" w:type="dxa"/>
        <w:right w:w="70" w:type="dxa"/>
      </w:tblCellMar>
      <w:tblLook w:val="04A0" w:firstRow="1" w:lastRow="0" w:firstColumn="1" w:lastColumn="0" w:noHBand="0" w:noVBand="1"/>
    </w:tblPr>
    <w:tblGrid>
      <w:gridCol w:w="2975"/>
      <w:gridCol w:w="7039"/>
    </w:tblGrid>
    <w:tr w:rsidR="00F17F8F" w14:paraId="0818C714" w14:textId="77777777" w:rsidTr="003C0503">
      <w:trPr>
        <w:cantSplit/>
        <w:trHeight w:val="196"/>
        <w:jc w:val="center"/>
      </w:trPr>
      <w:tc>
        <w:tcPr>
          <w:tcW w:w="2975" w:type="dxa"/>
          <w:vMerge w:val="restart"/>
          <w:hideMark/>
        </w:tcPr>
        <w:p w14:paraId="5DE8A2EE" w14:textId="42ADE90E" w:rsidR="00F17F8F" w:rsidRDefault="00795D85" w:rsidP="00F17F8F">
          <w:pPr>
            <w:jc w:val="center"/>
            <w:rPr>
              <w:lang w:eastAsia="en-US"/>
            </w:rPr>
          </w:pPr>
          <w:r>
            <w:rPr>
              <w:noProof/>
            </w:rPr>
            <w:drawing>
              <wp:anchor distT="0" distB="0" distL="114300" distR="114300" simplePos="0" relativeHeight="251659264" behindDoc="0" locked="0" layoutInCell="1" allowOverlap="1" wp14:anchorId="1F215C8F" wp14:editId="5482C046">
                <wp:simplePos x="0" y="0"/>
                <wp:positionH relativeFrom="column">
                  <wp:posOffset>-15874</wp:posOffset>
                </wp:positionH>
                <wp:positionV relativeFrom="paragraph">
                  <wp:posOffset>-50165</wp:posOffset>
                </wp:positionV>
                <wp:extent cx="1668988" cy="742950"/>
                <wp:effectExtent l="0" t="0" r="762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53" r="-53"/>
                        <a:stretch>
                          <a:fillRect/>
                        </a:stretch>
                      </pic:blipFill>
                      <pic:spPr bwMode="auto">
                        <a:xfrm>
                          <a:off x="0" y="0"/>
                          <a:ext cx="1671195" cy="743933"/>
                        </a:xfrm>
                        <a:prstGeom prst="rect">
                          <a:avLst/>
                        </a:prstGeom>
                        <a:noFill/>
                      </pic:spPr>
                    </pic:pic>
                  </a:graphicData>
                </a:graphic>
                <wp14:sizeRelH relativeFrom="page">
                  <wp14:pctWidth>0</wp14:pctWidth>
                </wp14:sizeRelH>
                <wp14:sizeRelV relativeFrom="page">
                  <wp14:pctHeight>0</wp14:pctHeight>
                </wp14:sizeRelV>
              </wp:anchor>
            </w:drawing>
          </w:r>
        </w:p>
      </w:tc>
      <w:tc>
        <w:tcPr>
          <w:tcW w:w="7039" w:type="dxa"/>
          <w:tcBorders>
            <w:top w:val="nil"/>
            <w:left w:val="nil"/>
            <w:bottom w:val="double" w:sz="4" w:space="0" w:color="auto"/>
            <w:right w:val="nil"/>
          </w:tcBorders>
          <w:hideMark/>
        </w:tcPr>
        <w:p w14:paraId="40BF5B27" w14:textId="77777777" w:rsidR="00F17F8F" w:rsidRPr="00795D85" w:rsidRDefault="00F17F8F" w:rsidP="00F17F8F">
          <w:pPr>
            <w:pStyle w:val="Ttulo4"/>
            <w:rPr>
              <w:rFonts w:ascii="Century Gothic" w:hAnsi="Century Gothic"/>
              <w:b/>
              <w:bCs/>
              <w:i w:val="0"/>
              <w:iCs w:val="0"/>
              <w:noProof/>
              <w:sz w:val="22"/>
              <w:szCs w:val="22"/>
              <w:lang w:eastAsia="en-US"/>
            </w:rPr>
          </w:pPr>
          <w:r w:rsidRPr="00795D85">
            <w:rPr>
              <w:rFonts w:ascii="Century Gothic" w:hAnsi="Century Gothic"/>
              <w:b/>
              <w:bCs/>
              <w:i w:val="0"/>
              <w:iCs w:val="0"/>
              <w:noProof/>
              <w:color w:val="auto"/>
              <w:sz w:val="22"/>
              <w:szCs w:val="22"/>
              <w:lang w:eastAsia="en-US"/>
            </w:rPr>
            <w:t>SERVIÇO  AUTÔNOMO  DE  ÁGUA  E  ESGOTO</w:t>
          </w:r>
        </w:p>
      </w:tc>
    </w:tr>
    <w:tr w:rsidR="00F17F8F" w14:paraId="3A7D5758" w14:textId="77777777" w:rsidTr="003C0503">
      <w:trPr>
        <w:cantSplit/>
        <w:trHeight w:val="286"/>
        <w:jc w:val="center"/>
      </w:trPr>
      <w:tc>
        <w:tcPr>
          <w:tcW w:w="2975" w:type="dxa"/>
          <w:vMerge/>
          <w:vAlign w:val="center"/>
          <w:hideMark/>
        </w:tcPr>
        <w:p w14:paraId="399A10EC" w14:textId="77777777" w:rsidR="00F17F8F" w:rsidRDefault="00F17F8F" w:rsidP="00F17F8F">
          <w:pPr>
            <w:rPr>
              <w:lang w:eastAsia="en-US"/>
            </w:rPr>
          </w:pPr>
        </w:p>
      </w:tc>
      <w:tc>
        <w:tcPr>
          <w:tcW w:w="7039" w:type="dxa"/>
          <w:tcBorders>
            <w:top w:val="double" w:sz="4" w:space="0" w:color="auto"/>
            <w:left w:val="nil"/>
            <w:bottom w:val="nil"/>
            <w:right w:val="nil"/>
          </w:tcBorders>
        </w:tcPr>
        <w:p w14:paraId="1C55D439" w14:textId="2F9E4993" w:rsidR="00F17F8F" w:rsidRPr="00795D85" w:rsidRDefault="00F17F8F" w:rsidP="00F17F8F">
          <w:pPr>
            <w:rPr>
              <w:rFonts w:ascii="Abadi MT Condensed Light" w:hAnsi="Abadi MT Condensed Light"/>
              <w:noProof/>
              <w:sz w:val="22"/>
              <w:szCs w:val="22"/>
              <w:lang w:eastAsia="en-US"/>
            </w:rPr>
          </w:pPr>
          <w:r w:rsidRPr="00795D85">
            <w:rPr>
              <w:rFonts w:ascii="Abadi MT Condensed Light" w:hAnsi="Abadi MT Condensed Light"/>
              <w:noProof/>
              <w:sz w:val="22"/>
              <w:szCs w:val="22"/>
              <w:lang w:eastAsia="en-US"/>
            </w:rPr>
            <w:t>Rua Paulo Grandinetti Viola, 123, Silvestrini</w:t>
          </w:r>
          <w:r w:rsidR="007E2386" w:rsidRPr="00795D85">
            <w:rPr>
              <w:rFonts w:ascii="Abadi MT Condensed Light" w:hAnsi="Abadi MT Condensed Light"/>
              <w:noProof/>
              <w:sz w:val="22"/>
              <w:szCs w:val="22"/>
              <w:lang w:eastAsia="en-US"/>
            </w:rPr>
            <w:t xml:space="preserve">. </w:t>
          </w:r>
          <w:r w:rsidRPr="00795D85">
            <w:rPr>
              <w:rFonts w:ascii="Abadi MT Condensed Light" w:hAnsi="Abadi MT Condensed Light"/>
              <w:noProof/>
              <w:sz w:val="22"/>
              <w:szCs w:val="22"/>
              <w:lang w:eastAsia="en-US"/>
            </w:rPr>
            <w:t xml:space="preserve">CEP 37.480-000 - Lambari - MG </w:t>
          </w:r>
        </w:p>
        <w:p w14:paraId="23BB4748" w14:textId="77777777" w:rsidR="00F17F8F" w:rsidRPr="00795D85" w:rsidRDefault="00F17F8F" w:rsidP="00F17F8F">
          <w:pPr>
            <w:rPr>
              <w:rFonts w:ascii="Abadi MT Condensed Light" w:hAnsi="Abadi MT Condensed Light"/>
              <w:b/>
              <w:bCs/>
              <w:noProof/>
              <w:sz w:val="22"/>
              <w:szCs w:val="22"/>
              <w:lang w:eastAsia="en-US"/>
            </w:rPr>
          </w:pPr>
          <w:r w:rsidRPr="00795D85">
            <w:rPr>
              <w:rFonts w:ascii="Abadi MT Condensed Light" w:hAnsi="Abadi MT Condensed Light"/>
              <w:noProof/>
              <w:sz w:val="22"/>
              <w:szCs w:val="22"/>
              <w:lang w:eastAsia="en-US"/>
            </w:rPr>
            <w:t xml:space="preserve">Telefax.: (35) 3271 1056 – </w:t>
          </w:r>
          <w:r w:rsidRPr="00795D85">
            <w:rPr>
              <w:rFonts w:ascii="Abadi MT Condensed Light" w:hAnsi="Abadi MT Condensed Light"/>
              <w:b/>
              <w:bCs/>
              <w:noProof/>
              <w:sz w:val="22"/>
              <w:szCs w:val="22"/>
              <w:lang w:eastAsia="en-US"/>
            </w:rPr>
            <w:t>SAC 0800-0352808</w:t>
          </w:r>
        </w:p>
        <w:p w14:paraId="62AA4DF3" w14:textId="77777777" w:rsidR="00F17F8F" w:rsidRPr="00795D85" w:rsidRDefault="00F17F8F" w:rsidP="00F17F8F">
          <w:pPr>
            <w:pStyle w:val="Remetente"/>
            <w:rPr>
              <w:rFonts w:ascii="Abadi MT Condensed Light" w:hAnsi="Abadi MT Condensed Light"/>
              <w:b/>
              <w:bCs/>
              <w:noProof/>
              <w:sz w:val="22"/>
              <w:szCs w:val="22"/>
              <w:lang w:eastAsia="en-US"/>
            </w:rPr>
          </w:pPr>
          <w:r w:rsidRPr="00795D85">
            <w:rPr>
              <w:rFonts w:ascii="Abadi MT Condensed Light" w:hAnsi="Abadi MT Condensed Light"/>
              <w:b/>
              <w:bCs/>
              <w:noProof/>
              <w:sz w:val="22"/>
              <w:szCs w:val="22"/>
              <w:lang w:eastAsia="en-US"/>
            </w:rPr>
            <w:t>CNPJ 22.040.711/0001-22</w:t>
          </w:r>
        </w:p>
      </w:tc>
    </w:tr>
  </w:tbl>
  <w:p w14:paraId="4233D092" w14:textId="7B8544D0" w:rsidR="00F17F8F" w:rsidRPr="007E2386" w:rsidRDefault="00F17F8F">
    <w:pPr>
      <w:pStyle w:val="Cabealh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0A99411"/>
    <w:multiLevelType w:val="multilevel"/>
    <w:tmpl w:val="0D2460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6550A21"/>
    <w:multiLevelType w:val="hybridMultilevel"/>
    <w:tmpl w:val="BD46A97C"/>
    <w:lvl w:ilvl="0" w:tplc="C6E8290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1D5C100D"/>
    <w:multiLevelType w:val="multilevel"/>
    <w:tmpl w:val="6C045F1E"/>
    <w:lvl w:ilvl="0">
      <w:start w:val="1"/>
      <w:numFmt w:val="decimal"/>
      <w:pStyle w:val="Nivel01"/>
      <w:lvlText w:val="%1."/>
      <w:lvlJc w:val="left"/>
      <w:pPr>
        <w:ind w:left="360" w:hanging="360"/>
      </w:pPr>
      <w:rPr>
        <w:rFonts w:hint="default"/>
        <w:b/>
      </w:rPr>
    </w:lvl>
    <w:lvl w:ilvl="1">
      <w:start w:val="1"/>
      <w:numFmt w:val="decimal"/>
      <w:lvlText w:val="%1.%2."/>
      <w:lvlJc w:val="left"/>
      <w:pPr>
        <w:ind w:left="999" w:hanging="432"/>
      </w:pPr>
      <w:rPr>
        <w:rFonts w:ascii="Arial" w:hAnsi="Arial" w:cs="Arial" w:hint="default"/>
        <w:b/>
        <w:bCs/>
        <w:i w:val="0"/>
        <w:strike w:val="0"/>
        <w:color w:val="auto"/>
        <w:sz w:val="20"/>
        <w:szCs w:val="20"/>
        <w:u w:val="none"/>
      </w:rPr>
    </w:lvl>
    <w:lvl w:ilvl="2">
      <w:start w:val="1"/>
      <w:numFmt w:val="decimal"/>
      <w:lvlText w:val="%1.%2.%3."/>
      <w:lvlJc w:val="left"/>
      <w:pPr>
        <w:ind w:left="1638" w:hanging="504"/>
      </w:pPr>
      <w:rPr>
        <w:rFonts w:ascii="Arial" w:hAnsi="Arial" w:cs="Arial" w:hint="default"/>
        <w:b/>
        <w:bCs/>
        <w:i w:val="0"/>
        <w:strike w:val="0"/>
        <w:color w:val="auto"/>
        <w:sz w:val="20"/>
        <w:szCs w:val="20"/>
      </w:rPr>
    </w:lvl>
    <w:lvl w:ilvl="3">
      <w:start w:val="1"/>
      <w:numFmt w:val="decimal"/>
      <w:lvlText w:val="%1.%2.%3.%4."/>
      <w:lvlJc w:val="left"/>
      <w:pPr>
        <w:ind w:left="2491" w:hanging="648"/>
      </w:pPr>
      <w:rPr>
        <w:rFonts w:hint="default"/>
        <w:b/>
        <w:bCs w:val="0"/>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246E56"/>
    <w:multiLevelType w:val="multilevel"/>
    <w:tmpl w:val="42DA1E7E"/>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4B56F0"/>
    <w:multiLevelType w:val="hybridMultilevel"/>
    <w:tmpl w:val="A9E8D2C2"/>
    <w:lvl w:ilvl="0" w:tplc="EF5A07F8">
      <w:start w:val="1"/>
      <w:numFmt w:val="lowerLetter"/>
      <w:lvlText w:val="%1)"/>
      <w:lvlJc w:val="lef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6" w15:restartNumberingAfterBreak="0">
    <w:nsid w:val="27A8169B"/>
    <w:multiLevelType w:val="multilevel"/>
    <w:tmpl w:val="F49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6250F7"/>
    <w:multiLevelType w:val="multilevel"/>
    <w:tmpl w:val="9F9E16B2"/>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b/>
        <w:bCs/>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 w15:restartNumberingAfterBreak="0">
    <w:nsid w:val="35303ECD"/>
    <w:multiLevelType w:val="hybridMultilevel"/>
    <w:tmpl w:val="63F063C2"/>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15:restartNumberingAfterBreak="0">
    <w:nsid w:val="36E93742"/>
    <w:multiLevelType w:val="multilevel"/>
    <w:tmpl w:val="28C46B72"/>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C10046"/>
    <w:multiLevelType w:val="multilevel"/>
    <w:tmpl w:val="78FCCED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E10C46"/>
    <w:multiLevelType w:val="hybridMultilevel"/>
    <w:tmpl w:val="D3168796"/>
    <w:lvl w:ilvl="0" w:tplc="EF6CB792">
      <w:start w:val="1"/>
      <w:numFmt w:val="lowerLetter"/>
      <w:lvlText w:val="%1)"/>
      <w:lvlJc w:val="left"/>
      <w:pPr>
        <w:ind w:left="720" w:hanging="360"/>
      </w:pPr>
      <w:rPr>
        <w:rFonts w:cs="Tahoma"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A1B3936"/>
    <w:multiLevelType w:val="hybridMultilevel"/>
    <w:tmpl w:val="C92660DC"/>
    <w:lvl w:ilvl="0" w:tplc="6054F2B8">
      <w:start w:val="1"/>
      <w:numFmt w:val="lowerLetter"/>
      <w:lvlText w:val="%1)"/>
      <w:lvlJc w:val="left"/>
      <w:pPr>
        <w:ind w:left="720" w:hanging="360"/>
      </w:pPr>
      <w:rPr>
        <w:rFonts w:cs="Tahoma"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A26115"/>
    <w:multiLevelType w:val="hybridMultilevel"/>
    <w:tmpl w:val="4E5458F0"/>
    <w:lvl w:ilvl="0" w:tplc="663CA61E">
      <w:start w:val="1"/>
      <w:numFmt w:val="lowerLetter"/>
      <w:lvlText w:val="%1)"/>
      <w:lvlJc w:val="left"/>
      <w:pPr>
        <w:ind w:left="720" w:hanging="360"/>
      </w:pPr>
      <w:rPr>
        <w:rFonts w:cs="Tahoma"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0B12029"/>
    <w:multiLevelType w:val="multilevel"/>
    <w:tmpl w:val="134E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DD361E"/>
    <w:multiLevelType w:val="multilevel"/>
    <w:tmpl w:val="99829F54"/>
    <w:lvl w:ilvl="0">
      <w:start w:val="1"/>
      <w:numFmt w:val="decimal"/>
      <w:pStyle w:val="Nivel010"/>
      <w:suff w:val="space"/>
      <w:lvlText w:val="%1."/>
      <w:lvlJc w:val="left"/>
      <w:pPr>
        <w:ind w:left="0" w:firstLine="0"/>
      </w:pPr>
      <w:rPr>
        <w:b/>
        <w:i w:val="0"/>
      </w:rPr>
    </w:lvl>
    <w:lvl w:ilvl="1">
      <w:start w:val="1"/>
      <w:numFmt w:val="decimal"/>
      <w:suff w:val="space"/>
      <w:lvlText w:val="%1.%2."/>
      <w:lvlJc w:val="left"/>
      <w:pPr>
        <w:ind w:left="284" w:firstLine="0"/>
      </w:pPr>
      <w:rPr>
        <w:b w:val="0"/>
        <w:i w:val="0"/>
        <w:color w:val="auto"/>
      </w:rPr>
    </w:lvl>
    <w:lvl w:ilvl="2">
      <w:start w:val="1"/>
      <w:numFmt w:val="decimal"/>
      <w:suff w:val="space"/>
      <w:lvlText w:val="%1.%2.%3."/>
      <w:lvlJc w:val="left"/>
      <w:pPr>
        <w:ind w:left="567" w:firstLine="0"/>
      </w:pPr>
      <w:rPr>
        <w:b w:val="0"/>
        <w:i w:val="0"/>
      </w:rPr>
    </w:lvl>
    <w:lvl w:ilvl="3">
      <w:start w:val="1"/>
      <w:numFmt w:val="decimal"/>
      <w:suff w:val="space"/>
      <w:lvlText w:val="%1.%2.%3.%4."/>
      <w:lvlJc w:val="left"/>
      <w:pPr>
        <w:ind w:left="851" w:firstLine="0"/>
      </w:pPr>
      <w:rPr>
        <w:b/>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B2666EE"/>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EEE6D93"/>
    <w:multiLevelType w:val="multilevel"/>
    <w:tmpl w:val="2D044B2E"/>
    <w:lvl w:ilvl="0">
      <w:start w:val="1"/>
      <w:numFmt w:val="decimal"/>
      <w:lvlText w:val="%1."/>
      <w:lvlJc w:val="left"/>
      <w:pPr>
        <w:ind w:left="720" w:hanging="360"/>
      </w:pPr>
    </w:lvl>
    <w:lvl w:ilvl="1">
      <w:start w:val="1"/>
      <w:numFmt w:val="decimal"/>
      <w:isLgl/>
      <w:lvlText w:val="%1.%2."/>
      <w:lvlJc w:val="left"/>
      <w:pPr>
        <w:ind w:left="720" w:hanging="360"/>
      </w:pPr>
      <w:rPr>
        <w:rFonts w:hint="default"/>
        <w:b/>
        <w:bCs/>
        <w:color w:val="000000"/>
      </w:rPr>
    </w:lvl>
    <w:lvl w:ilvl="2">
      <w:start w:val="1"/>
      <w:numFmt w:val="decimal"/>
      <w:isLgl/>
      <w:lvlText w:val="%1.%2.%3."/>
      <w:lvlJc w:val="left"/>
      <w:pPr>
        <w:ind w:left="1080" w:hanging="720"/>
      </w:pPr>
      <w:rPr>
        <w:rFonts w:hint="default"/>
        <w:b/>
        <w:bCs/>
        <w:color w:val="000000"/>
        <w:sz w:val="20"/>
        <w:szCs w:val="2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3" w15:restartNumberingAfterBreak="0">
    <w:nsid w:val="737635F4"/>
    <w:multiLevelType w:val="multilevel"/>
    <w:tmpl w:val="57D4BBB6"/>
    <w:lvl w:ilvl="0">
      <w:start w:val="2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5602D1D"/>
    <w:multiLevelType w:val="multilevel"/>
    <w:tmpl w:val="6FC2F502"/>
    <w:lvl w:ilvl="0">
      <w:start w:val="20"/>
      <w:numFmt w:val="decimal"/>
      <w:lvlText w:val="%1."/>
      <w:lvlJc w:val="left"/>
      <w:pPr>
        <w:ind w:left="360" w:hanging="360"/>
      </w:pPr>
      <w:rPr>
        <w:rFonts w:hint="default"/>
      </w:rPr>
    </w:lvl>
    <w:lvl w:ilvl="1">
      <w:start w:val="4"/>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7AA31C92"/>
    <w:multiLevelType w:val="hybridMultilevel"/>
    <w:tmpl w:val="A98261DE"/>
    <w:lvl w:ilvl="0" w:tplc="FFFFFFFF">
      <w:start w:val="1"/>
      <w:numFmt w:val="decimal"/>
      <w:lvlText w:val="%1"/>
      <w:lvlJc w:val="center"/>
      <w:pPr>
        <w:ind w:left="360" w:hanging="360"/>
      </w:pPr>
      <w:rPr>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D050D00"/>
    <w:multiLevelType w:val="multilevel"/>
    <w:tmpl w:val="ADECAC2A"/>
    <w:lvl w:ilvl="0">
      <w:start w:val="18"/>
      <w:numFmt w:val="decimal"/>
      <w:lvlText w:val="%1."/>
      <w:lvlJc w:val="left"/>
      <w:pPr>
        <w:ind w:left="360" w:hanging="360"/>
      </w:pPr>
      <w:rPr>
        <w:rFonts w:hint="default"/>
      </w:rPr>
    </w:lvl>
    <w:lvl w:ilvl="1">
      <w:start w:val="1"/>
      <w:numFmt w:val="decimal"/>
      <w:lvlText w:val="%1.%2."/>
      <w:lvlJc w:val="left"/>
      <w:pPr>
        <w:ind w:left="792" w:hanging="432"/>
      </w:pPr>
      <w:rPr>
        <w:rFonts w:hint="default"/>
        <w:b/>
        <w:bCs/>
        <w:i w:val="0"/>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E26527A"/>
    <w:multiLevelType w:val="hybridMultilevel"/>
    <w:tmpl w:val="8D7C48D8"/>
    <w:lvl w:ilvl="0" w:tplc="FFA8739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14760684">
    <w:abstractNumId w:val="3"/>
  </w:num>
  <w:num w:numId="2" w16cid:durableId="1522473986">
    <w:abstractNumId w:val="0"/>
  </w:num>
  <w:num w:numId="3" w16cid:durableId="99767731">
    <w:abstractNumId w:val="25"/>
  </w:num>
  <w:num w:numId="4" w16cid:durableId="929460193">
    <w:abstractNumId w:val="28"/>
  </w:num>
  <w:num w:numId="5" w16cid:durableId="1807433109">
    <w:abstractNumId w:val="11"/>
  </w:num>
  <w:num w:numId="6" w16cid:durableId="689337905">
    <w:abstractNumId w:val="7"/>
  </w:num>
  <w:num w:numId="7" w16cid:durableId="481967922">
    <w:abstractNumId w:val="15"/>
  </w:num>
  <w:num w:numId="8" w16cid:durableId="2086491205">
    <w:abstractNumId w:val="20"/>
  </w:num>
  <w:num w:numId="9" w16cid:durableId="1388065864">
    <w:abstractNumId w:val="3"/>
  </w:num>
  <w:num w:numId="10" w16cid:durableId="1486046586">
    <w:abstractNumId w:val="3"/>
  </w:num>
  <w:num w:numId="11" w16cid:durableId="2072120169">
    <w:abstractNumId w:val="3"/>
  </w:num>
  <w:num w:numId="12" w16cid:durableId="1007946089">
    <w:abstractNumId w:val="3"/>
    <w:lvlOverride w:ilvl="0">
      <w:startOverride w:val="20"/>
    </w:lvlOverride>
  </w:num>
  <w:num w:numId="13" w16cid:durableId="2123256443">
    <w:abstractNumId w:val="3"/>
  </w:num>
  <w:num w:numId="14" w16cid:durableId="697588170">
    <w:abstractNumId w:val="3"/>
    <w:lvlOverride w:ilvl="0">
      <w:startOverride w:val="20"/>
    </w:lvlOverride>
    <w:lvlOverride w:ilvl="1">
      <w:startOverride w:val="1"/>
    </w:lvlOverride>
  </w:num>
  <w:num w:numId="15" w16cid:durableId="1173061172">
    <w:abstractNumId w:val="26"/>
  </w:num>
  <w:num w:numId="16" w16cid:durableId="2058577750">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7047777">
    <w:abstractNumId w:val="16"/>
  </w:num>
  <w:num w:numId="18" w16cid:durableId="436677845">
    <w:abstractNumId w:val="8"/>
  </w:num>
  <w:num w:numId="19" w16cid:durableId="626358657">
    <w:abstractNumId w:val="3"/>
    <w:lvlOverride w:ilvl="0">
      <w:startOverride w:val="9"/>
    </w:lvlOverride>
    <w:lvlOverride w:ilvl="1">
      <w:startOverride w:val="5"/>
    </w:lvlOverride>
  </w:num>
  <w:num w:numId="20" w16cid:durableId="1390615735">
    <w:abstractNumId w:val="3"/>
    <w:lvlOverride w:ilvl="0">
      <w:startOverride w:val="9"/>
    </w:lvlOverride>
    <w:lvlOverride w:ilvl="1">
      <w:startOverride w:val="13"/>
    </w:lvlOverride>
    <w:lvlOverride w:ilvl="2">
      <w:startOverride w:val="1"/>
    </w:lvlOverride>
  </w:num>
  <w:num w:numId="21" w16cid:durableId="1344866626">
    <w:abstractNumId w:val="3"/>
    <w:lvlOverride w:ilvl="0">
      <w:startOverride w:val="7"/>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2861412">
    <w:abstractNumId w:val="5"/>
  </w:num>
  <w:num w:numId="23" w16cid:durableId="1623607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38410">
    <w:abstractNumId w:val="24"/>
  </w:num>
  <w:num w:numId="25" w16cid:durableId="1595899546">
    <w:abstractNumId w:val="4"/>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37094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43936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5812241">
    <w:abstractNumId w:val="3"/>
    <w:lvlOverride w:ilvl="0">
      <w:startOverride w:val="1"/>
    </w:lvlOverride>
  </w:num>
  <w:num w:numId="29" w16cid:durableId="772088636">
    <w:abstractNumId w:val="29"/>
  </w:num>
  <w:num w:numId="30" w16cid:durableId="11971559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39262610">
    <w:abstractNumId w:val="23"/>
  </w:num>
  <w:num w:numId="32" w16cid:durableId="2038314364">
    <w:abstractNumId w:val="10"/>
  </w:num>
  <w:num w:numId="33" w16cid:durableId="1759137047">
    <w:abstractNumId w:val="30"/>
  </w:num>
  <w:num w:numId="34" w16cid:durableId="1285387201">
    <w:abstractNumId w:val="13"/>
  </w:num>
  <w:num w:numId="35" w16cid:durableId="356388499">
    <w:abstractNumId w:val="17"/>
  </w:num>
  <w:num w:numId="36" w16cid:durableId="964967377">
    <w:abstractNumId w:val="14"/>
  </w:num>
  <w:num w:numId="37" w16cid:durableId="1121999725">
    <w:abstractNumId w:val="12"/>
  </w:num>
  <w:num w:numId="38" w16cid:durableId="460349669">
    <w:abstractNumId w:val="22"/>
  </w:num>
  <w:num w:numId="39" w16cid:durableId="88354911">
    <w:abstractNumId w:val="9"/>
  </w:num>
  <w:num w:numId="40" w16cid:durableId="1119955763">
    <w:abstractNumId w:val="2"/>
  </w:num>
  <w:num w:numId="41" w16cid:durableId="795564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6611320">
    <w:abstractNumId w:val="6"/>
  </w:num>
  <w:num w:numId="43" w16cid:durableId="577129006">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16D5"/>
    <w:rsid w:val="000019C6"/>
    <w:rsid w:val="0000236D"/>
    <w:rsid w:val="0000311E"/>
    <w:rsid w:val="00003298"/>
    <w:rsid w:val="00004B1C"/>
    <w:rsid w:val="000066C8"/>
    <w:rsid w:val="00011390"/>
    <w:rsid w:val="000122C1"/>
    <w:rsid w:val="00012A11"/>
    <w:rsid w:val="00014236"/>
    <w:rsid w:val="0001475D"/>
    <w:rsid w:val="00014E7A"/>
    <w:rsid w:val="00014FC0"/>
    <w:rsid w:val="00015D4B"/>
    <w:rsid w:val="0002260C"/>
    <w:rsid w:val="0002306D"/>
    <w:rsid w:val="00023CDD"/>
    <w:rsid w:val="000242C8"/>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2FFC"/>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709E"/>
    <w:rsid w:val="000779C7"/>
    <w:rsid w:val="00077C09"/>
    <w:rsid w:val="00080B53"/>
    <w:rsid w:val="00081098"/>
    <w:rsid w:val="0008276E"/>
    <w:rsid w:val="00082DC7"/>
    <w:rsid w:val="00086D55"/>
    <w:rsid w:val="000872C8"/>
    <w:rsid w:val="00087EF2"/>
    <w:rsid w:val="000902AA"/>
    <w:rsid w:val="00090425"/>
    <w:rsid w:val="00090F5D"/>
    <w:rsid w:val="00091897"/>
    <w:rsid w:val="00092759"/>
    <w:rsid w:val="00094321"/>
    <w:rsid w:val="00094A8E"/>
    <w:rsid w:val="00097B24"/>
    <w:rsid w:val="000A102A"/>
    <w:rsid w:val="000A179E"/>
    <w:rsid w:val="000A1A7B"/>
    <w:rsid w:val="000A1B88"/>
    <w:rsid w:val="000A1EAC"/>
    <w:rsid w:val="000A23DA"/>
    <w:rsid w:val="000A4988"/>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5E2"/>
    <w:rsid w:val="000C670A"/>
    <w:rsid w:val="000D239E"/>
    <w:rsid w:val="000D2A6B"/>
    <w:rsid w:val="000D2AC3"/>
    <w:rsid w:val="000D4159"/>
    <w:rsid w:val="000D4AE0"/>
    <w:rsid w:val="000D5774"/>
    <w:rsid w:val="000D59E7"/>
    <w:rsid w:val="000E31BC"/>
    <w:rsid w:val="000E4C1B"/>
    <w:rsid w:val="000E610F"/>
    <w:rsid w:val="000E6C0E"/>
    <w:rsid w:val="000E7EB8"/>
    <w:rsid w:val="000F0A2E"/>
    <w:rsid w:val="000F113C"/>
    <w:rsid w:val="000F1290"/>
    <w:rsid w:val="000F17D0"/>
    <w:rsid w:val="000F1C1C"/>
    <w:rsid w:val="000F2923"/>
    <w:rsid w:val="000F2B66"/>
    <w:rsid w:val="000F2D6D"/>
    <w:rsid w:val="000F34E6"/>
    <w:rsid w:val="000F4088"/>
    <w:rsid w:val="000F4F96"/>
    <w:rsid w:val="000F5A07"/>
    <w:rsid w:val="001003FA"/>
    <w:rsid w:val="0010044D"/>
    <w:rsid w:val="00100990"/>
    <w:rsid w:val="00100BD1"/>
    <w:rsid w:val="001011D5"/>
    <w:rsid w:val="00103461"/>
    <w:rsid w:val="00103BB0"/>
    <w:rsid w:val="00104883"/>
    <w:rsid w:val="00105707"/>
    <w:rsid w:val="00106B39"/>
    <w:rsid w:val="00110305"/>
    <w:rsid w:val="001103FF"/>
    <w:rsid w:val="00111AB6"/>
    <w:rsid w:val="00112A6A"/>
    <w:rsid w:val="00112ABD"/>
    <w:rsid w:val="00113EEB"/>
    <w:rsid w:val="00114C63"/>
    <w:rsid w:val="00115429"/>
    <w:rsid w:val="0011575E"/>
    <w:rsid w:val="00120DAD"/>
    <w:rsid w:val="001219B0"/>
    <w:rsid w:val="00121E12"/>
    <w:rsid w:val="00122C50"/>
    <w:rsid w:val="00124736"/>
    <w:rsid w:val="00124887"/>
    <w:rsid w:val="00124990"/>
    <w:rsid w:val="00124FB7"/>
    <w:rsid w:val="00125012"/>
    <w:rsid w:val="00127AC5"/>
    <w:rsid w:val="001304C0"/>
    <w:rsid w:val="001305EC"/>
    <w:rsid w:val="001315F2"/>
    <w:rsid w:val="00132231"/>
    <w:rsid w:val="00133148"/>
    <w:rsid w:val="001342C0"/>
    <w:rsid w:val="00134FE4"/>
    <w:rsid w:val="00135CCD"/>
    <w:rsid w:val="00135FE5"/>
    <w:rsid w:val="0013629B"/>
    <w:rsid w:val="001369ED"/>
    <w:rsid w:val="0014004B"/>
    <w:rsid w:val="00140A41"/>
    <w:rsid w:val="0014325E"/>
    <w:rsid w:val="00143845"/>
    <w:rsid w:val="00146BDF"/>
    <w:rsid w:val="001516EA"/>
    <w:rsid w:val="0015172D"/>
    <w:rsid w:val="00153E25"/>
    <w:rsid w:val="00154505"/>
    <w:rsid w:val="00154B86"/>
    <w:rsid w:val="00154BF4"/>
    <w:rsid w:val="001562A8"/>
    <w:rsid w:val="00156349"/>
    <w:rsid w:val="0015684D"/>
    <w:rsid w:val="001568F9"/>
    <w:rsid w:val="00156ACF"/>
    <w:rsid w:val="00157D8E"/>
    <w:rsid w:val="00160549"/>
    <w:rsid w:val="00160BBD"/>
    <w:rsid w:val="00160DA4"/>
    <w:rsid w:val="0016418C"/>
    <w:rsid w:val="001648FB"/>
    <w:rsid w:val="00164CC3"/>
    <w:rsid w:val="0016552B"/>
    <w:rsid w:val="0016584A"/>
    <w:rsid w:val="00165A1B"/>
    <w:rsid w:val="001679BA"/>
    <w:rsid w:val="00170CE1"/>
    <w:rsid w:val="00170D49"/>
    <w:rsid w:val="00172A0F"/>
    <w:rsid w:val="00174CAA"/>
    <w:rsid w:val="00174D48"/>
    <w:rsid w:val="001777C6"/>
    <w:rsid w:val="00177CD5"/>
    <w:rsid w:val="001817D2"/>
    <w:rsid w:val="00181996"/>
    <w:rsid w:val="00181F1C"/>
    <w:rsid w:val="00184086"/>
    <w:rsid w:val="001842A6"/>
    <w:rsid w:val="00184E7C"/>
    <w:rsid w:val="00185F3B"/>
    <w:rsid w:val="0018613B"/>
    <w:rsid w:val="001904A8"/>
    <w:rsid w:val="00191140"/>
    <w:rsid w:val="00194866"/>
    <w:rsid w:val="00194F7C"/>
    <w:rsid w:val="001959DA"/>
    <w:rsid w:val="001A0186"/>
    <w:rsid w:val="001A13FA"/>
    <w:rsid w:val="001A1732"/>
    <w:rsid w:val="001A2CE9"/>
    <w:rsid w:val="001A3A05"/>
    <w:rsid w:val="001A3ADF"/>
    <w:rsid w:val="001A3E18"/>
    <w:rsid w:val="001A6105"/>
    <w:rsid w:val="001B005B"/>
    <w:rsid w:val="001B1976"/>
    <w:rsid w:val="001B2538"/>
    <w:rsid w:val="001B3448"/>
    <w:rsid w:val="001B6423"/>
    <w:rsid w:val="001C11C5"/>
    <w:rsid w:val="001C2C97"/>
    <w:rsid w:val="001C2E71"/>
    <w:rsid w:val="001C3F32"/>
    <w:rsid w:val="001C48B6"/>
    <w:rsid w:val="001C4C04"/>
    <w:rsid w:val="001C5FEE"/>
    <w:rsid w:val="001C694F"/>
    <w:rsid w:val="001C6DC9"/>
    <w:rsid w:val="001C721E"/>
    <w:rsid w:val="001D28CC"/>
    <w:rsid w:val="001D2907"/>
    <w:rsid w:val="001D3305"/>
    <w:rsid w:val="001D3368"/>
    <w:rsid w:val="001D3BA3"/>
    <w:rsid w:val="001D4665"/>
    <w:rsid w:val="001D6EE5"/>
    <w:rsid w:val="001D7A04"/>
    <w:rsid w:val="001E093F"/>
    <w:rsid w:val="001E1D6B"/>
    <w:rsid w:val="001E2495"/>
    <w:rsid w:val="001E2E97"/>
    <w:rsid w:val="001E3AAF"/>
    <w:rsid w:val="001E40D3"/>
    <w:rsid w:val="001E52BA"/>
    <w:rsid w:val="001E60BA"/>
    <w:rsid w:val="001F0A6E"/>
    <w:rsid w:val="001F0E4E"/>
    <w:rsid w:val="001F39FA"/>
    <w:rsid w:val="001F42FC"/>
    <w:rsid w:val="001F4C3C"/>
    <w:rsid w:val="001F66DD"/>
    <w:rsid w:val="0020019F"/>
    <w:rsid w:val="00200A4B"/>
    <w:rsid w:val="00201F24"/>
    <w:rsid w:val="00202A04"/>
    <w:rsid w:val="00202BFE"/>
    <w:rsid w:val="00205034"/>
    <w:rsid w:val="00205197"/>
    <w:rsid w:val="0020593D"/>
    <w:rsid w:val="00205B37"/>
    <w:rsid w:val="00205F6E"/>
    <w:rsid w:val="00206118"/>
    <w:rsid w:val="00207B98"/>
    <w:rsid w:val="00210001"/>
    <w:rsid w:val="0021106D"/>
    <w:rsid w:val="00213E2F"/>
    <w:rsid w:val="00215027"/>
    <w:rsid w:val="00220D79"/>
    <w:rsid w:val="00220FFE"/>
    <w:rsid w:val="00221BA5"/>
    <w:rsid w:val="00222980"/>
    <w:rsid w:val="002241A2"/>
    <w:rsid w:val="0022531D"/>
    <w:rsid w:val="002267BC"/>
    <w:rsid w:val="00227861"/>
    <w:rsid w:val="00230C82"/>
    <w:rsid w:val="00231E9C"/>
    <w:rsid w:val="002322DE"/>
    <w:rsid w:val="00234065"/>
    <w:rsid w:val="00235187"/>
    <w:rsid w:val="0024054E"/>
    <w:rsid w:val="00240B17"/>
    <w:rsid w:val="00241680"/>
    <w:rsid w:val="00241D78"/>
    <w:rsid w:val="00245716"/>
    <w:rsid w:val="00246DAE"/>
    <w:rsid w:val="00252859"/>
    <w:rsid w:val="00253319"/>
    <w:rsid w:val="002538B4"/>
    <w:rsid w:val="002538E3"/>
    <w:rsid w:val="00253C18"/>
    <w:rsid w:val="00253EDB"/>
    <w:rsid w:val="0025592E"/>
    <w:rsid w:val="00255C24"/>
    <w:rsid w:val="00257DB8"/>
    <w:rsid w:val="00260802"/>
    <w:rsid w:val="00261723"/>
    <w:rsid w:val="00261925"/>
    <w:rsid w:val="00263631"/>
    <w:rsid w:val="0026386A"/>
    <w:rsid w:val="002656A2"/>
    <w:rsid w:val="00265B35"/>
    <w:rsid w:val="00266261"/>
    <w:rsid w:val="00267125"/>
    <w:rsid w:val="00267B22"/>
    <w:rsid w:val="00271CB6"/>
    <w:rsid w:val="0027248A"/>
    <w:rsid w:val="0027301A"/>
    <w:rsid w:val="0027381F"/>
    <w:rsid w:val="00276ECC"/>
    <w:rsid w:val="00281E15"/>
    <w:rsid w:val="00283D51"/>
    <w:rsid w:val="00285733"/>
    <w:rsid w:val="0028765E"/>
    <w:rsid w:val="00287D22"/>
    <w:rsid w:val="0029037D"/>
    <w:rsid w:val="002923A3"/>
    <w:rsid w:val="002927E7"/>
    <w:rsid w:val="002937D4"/>
    <w:rsid w:val="00293D30"/>
    <w:rsid w:val="002961D6"/>
    <w:rsid w:val="002A0D02"/>
    <w:rsid w:val="002A127F"/>
    <w:rsid w:val="002A19C7"/>
    <w:rsid w:val="002A2822"/>
    <w:rsid w:val="002A4265"/>
    <w:rsid w:val="002A51E3"/>
    <w:rsid w:val="002B0A65"/>
    <w:rsid w:val="002B0CF8"/>
    <w:rsid w:val="002B2A87"/>
    <w:rsid w:val="002B2E88"/>
    <w:rsid w:val="002B2EE9"/>
    <w:rsid w:val="002B3ACD"/>
    <w:rsid w:val="002B7727"/>
    <w:rsid w:val="002B7EB0"/>
    <w:rsid w:val="002C1258"/>
    <w:rsid w:val="002C17A8"/>
    <w:rsid w:val="002C4E86"/>
    <w:rsid w:val="002C54C1"/>
    <w:rsid w:val="002C72B3"/>
    <w:rsid w:val="002D07BF"/>
    <w:rsid w:val="002D14AB"/>
    <w:rsid w:val="002D5122"/>
    <w:rsid w:val="002D5CA9"/>
    <w:rsid w:val="002D6984"/>
    <w:rsid w:val="002D6BF6"/>
    <w:rsid w:val="002D70BB"/>
    <w:rsid w:val="002D78B4"/>
    <w:rsid w:val="002D7C8E"/>
    <w:rsid w:val="002E0514"/>
    <w:rsid w:val="002E15A7"/>
    <w:rsid w:val="002E160F"/>
    <w:rsid w:val="002E2074"/>
    <w:rsid w:val="002E276E"/>
    <w:rsid w:val="002E2B74"/>
    <w:rsid w:val="002E3F91"/>
    <w:rsid w:val="002E480D"/>
    <w:rsid w:val="002E5386"/>
    <w:rsid w:val="002E5F6B"/>
    <w:rsid w:val="002E6499"/>
    <w:rsid w:val="002E649F"/>
    <w:rsid w:val="002F084D"/>
    <w:rsid w:val="002F308B"/>
    <w:rsid w:val="002F3A33"/>
    <w:rsid w:val="002F6672"/>
    <w:rsid w:val="002F6D69"/>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B4A"/>
    <w:rsid w:val="0033103B"/>
    <w:rsid w:val="00331182"/>
    <w:rsid w:val="00332190"/>
    <w:rsid w:val="00332AB2"/>
    <w:rsid w:val="003343F8"/>
    <w:rsid w:val="0033777C"/>
    <w:rsid w:val="0033795C"/>
    <w:rsid w:val="0034018E"/>
    <w:rsid w:val="00340192"/>
    <w:rsid w:val="00340EE0"/>
    <w:rsid w:val="003412B1"/>
    <w:rsid w:val="003415B6"/>
    <w:rsid w:val="00341B71"/>
    <w:rsid w:val="00342CB9"/>
    <w:rsid w:val="00343032"/>
    <w:rsid w:val="00343A5B"/>
    <w:rsid w:val="00343C3E"/>
    <w:rsid w:val="00343FE5"/>
    <w:rsid w:val="00345AA4"/>
    <w:rsid w:val="0034712C"/>
    <w:rsid w:val="00347598"/>
    <w:rsid w:val="00352541"/>
    <w:rsid w:val="0035658A"/>
    <w:rsid w:val="00360444"/>
    <w:rsid w:val="0036051A"/>
    <w:rsid w:val="00362847"/>
    <w:rsid w:val="003629E4"/>
    <w:rsid w:val="00364141"/>
    <w:rsid w:val="0036441C"/>
    <w:rsid w:val="003648BA"/>
    <w:rsid w:val="003671ED"/>
    <w:rsid w:val="00367EF6"/>
    <w:rsid w:val="00370FE8"/>
    <w:rsid w:val="00371E7E"/>
    <w:rsid w:val="00372C85"/>
    <w:rsid w:val="00373F2A"/>
    <w:rsid w:val="003751AD"/>
    <w:rsid w:val="00376A71"/>
    <w:rsid w:val="003779A2"/>
    <w:rsid w:val="003800AF"/>
    <w:rsid w:val="0038139C"/>
    <w:rsid w:val="00381E84"/>
    <w:rsid w:val="0038245E"/>
    <w:rsid w:val="00382798"/>
    <w:rsid w:val="003831B1"/>
    <w:rsid w:val="00383CAA"/>
    <w:rsid w:val="003842E9"/>
    <w:rsid w:val="00384DBB"/>
    <w:rsid w:val="00386157"/>
    <w:rsid w:val="00386ADE"/>
    <w:rsid w:val="00386C8D"/>
    <w:rsid w:val="003911FA"/>
    <w:rsid w:val="00391E14"/>
    <w:rsid w:val="003959F6"/>
    <w:rsid w:val="00395B05"/>
    <w:rsid w:val="003963D1"/>
    <w:rsid w:val="003A1EA2"/>
    <w:rsid w:val="003A2584"/>
    <w:rsid w:val="003A5367"/>
    <w:rsid w:val="003A54A7"/>
    <w:rsid w:val="003A71A0"/>
    <w:rsid w:val="003A73C1"/>
    <w:rsid w:val="003A79B2"/>
    <w:rsid w:val="003B005F"/>
    <w:rsid w:val="003B2B65"/>
    <w:rsid w:val="003B3F08"/>
    <w:rsid w:val="003B47AE"/>
    <w:rsid w:val="003B791E"/>
    <w:rsid w:val="003C0503"/>
    <w:rsid w:val="003C502C"/>
    <w:rsid w:val="003C609E"/>
    <w:rsid w:val="003C6275"/>
    <w:rsid w:val="003C6CE4"/>
    <w:rsid w:val="003D1078"/>
    <w:rsid w:val="003D129F"/>
    <w:rsid w:val="003D2250"/>
    <w:rsid w:val="003D4284"/>
    <w:rsid w:val="003D4382"/>
    <w:rsid w:val="003D584E"/>
    <w:rsid w:val="003D6109"/>
    <w:rsid w:val="003D6C15"/>
    <w:rsid w:val="003E4181"/>
    <w:rsid w:val="003E4927"/>
    <w:rsid w:val="003E4D76"/>
    <w:rsid w:val="003E5346"/>
    <w:rsid w:val="003E55B1"/>
    <w:rsid w:val="003E74B0"/>
    <w:rsid w:val="003E7DE1"/>
    <w:rsid w:val="003F004A"/>
    <w:rsid w:val="003F092F"/>
    <w:rsid w:val="003F1437"/>
    <w:rsid w:val="003F185C"/>
    <w:rsid w:val="003F1DD8"/>
    <w:rsid w:val="003F2479"/>
    <w:rsid w:val="003F305B"/>
    <w:rsid w:val="003F3197"/>
    <w:rsid w:val="003F36A3"/>
    <w:rsid w:val="003F6883"/>
    <w:rsid w:val="00400EC3"/>
    <w:rsid w:val="00401C33"/>
    <w:rsid w:val="0040443F"/>
    <w:rsid w:val="004053E1"/>
    <w:rsid w:val="00405763"/>
    <w:rsid w:val="00407F1C"/>
    <w:rsid w:val="00411463"/>
    <w:rsid w:val="004130BD"/>
    <w:rsid w:val="00413DFC"/>
    <w:rsid w:val="0041402E"/>
    <w:rsid w:val="00414DDA"/>
    <w:rsid w:val="00415F27"/>
    <w:rsid w:val="00416A59"/>
    <w:rsid w:val="00417CA8"/>
    <w:rsid w:val="0042021B"/>
    <w:rsid w:val="004202BA"/>
    <w:rsid w:val="0042190C"/>
    <w:rsid w:val="004230DE"/>
    <w:rsid w:val="00423B4A"/>
    <w:rsid w:val="00425359"/>
    <w:rsid w:val="00425856"/>
    <w:rsid w:val="00427990"/>
    <w:rsid w:val="00430FD9"/>
    <w:rsid w:val="00430FDB"/>
    <w:rsid w:val="00431129"/>
    <w:rsid w:val="004316D7"/>
    <w:rsid w:val="00431740"/>
    <w:rsid w:val="004318CA"/>
    <w:rsid w:val="00431C55"/>
    <w:rsid w:val="00431EDA"/>
    <w:rsid w:val="0043231C"/>
    <w:rsid w:val="00432470"/>
    <w:rsid w:val="0043396E"/>
    <w:rsid w:val="00433A09"/>
    <w:rsid w:val="004349BD"/>
    <w:rsid w:val="004350B5"/>
    <w:rsid w:val="00435447"/>
    <w:rsid w:val="00441EA1"/>
    <w:rsid w:val="0044294C"/>
    <w:rsid w:val="00445798"/>
    <w:rsid w:val="00446E40"/>
    <w:rsid w:val="0044725C"/>
    <w:rsid w:val="00447465"/>
    <w:rsid w:val="0044753C"/>
    <w:rsid w:val="00451065"/>
    <w:rsid w:val="0045133B"/>
    <w:rsid w:val="0045361E"/>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1A7E"/>
    <w:rsid w:val="00472103"/>
    <w:rsid w:val="00476C51"/>
    <w:rsid w:val="004773FC"/>
    <w:rsid w:val="00480328"/>
    <w:rsid w:val="00482163"/>
    <w:rsid w:val="004834FC"/>
    <w:rsid w:val="00483B15"/>
    <w:rsid w:val="00483FB9"/>
    <w:rsid w:val="004875F1"/>
    <w:rsid w:val="00491176"/>
    <w:rsid w:val="004919E4"/>
    <w:rsid w:val="00491F90"/>
    <w:rsid w:val="00492C93"/>
    <w:rsid w:val="00494AE7"/>
    <w:rsid w:val="00494E37"/>
    <w:rsid w:val="00495FC7"/>
    <w:rsid w:val="0049669A"/>
    <w:rsid w:val="004A3794"/>
    <w:rsid w:val="004A57D7"/>
    <w:rsid w:val="004A6AA4"/>
    <w:rsid w:val="004A781C"/>
    <w:rsid w:val="004B05B0"/>
    <w:rsid w:val="004B0CAC"/>
    <w:rsid w:val="004B19B5"/>
    <w:rsid w:val="004B1D7D"/>
    <w:rsid w:val="004B20C8"/>
    <w:rsid w:val="004B2677"/>
    <w:rsid w:val="004B460A"/>
    <w:rsid w:val="004B4F03"/>
    <w:rsid w:val="004B7BA6"/>
    <w:rsid w:val="004C0212"/>
    <w:rsid w:val="004C05F9"/>
    <w:rsid w:val="004C0B1F"/>
    <w:rsid w:val="004C1573"/>
    <w:rsid w:val="004C4681"/>
    <w:rsid w:val="004C4EF9"/>
    <w:rsid w:val="004C4F8F"/>
    <w:rsid w:val="004D067A"/>
    <w:rsid w:val="004D31CA"/>
    <w:rsid w:val="004D38D3"/>
    <w:rsid w:val="004D715C"/>
    <w:rsid w:val="004E0194"/>
    <w:rsid w:val="004E1325"/>
    <w:rsid w:val="004E18F9"/>
    <w:rsid w:val="004E1905"/>
    <w:rsid w:val="004E1E6B"/>
    <w:rsid w:val="004E2308"/>
    <w:rsid w:val="004E2A2E"/>
    <w:rsid w:val="004E3BF3"/>
    <w:rsid w:val="004E6892"/>
    <w:rsid w:val="004F0A3B"/>
    <w:rsid w:val="004F1294"/>
    <w:rsid w:val="004F1A89"/>
    <w:rsid w:val="004F2445"/>
    <w:rsid w:val="004F56C3"/>
    <w:rsid w:val="004F5881"/>
    <w:rsid w:val="004F5DF9"/>
    <w:rsid w:val="004F66B4"/>
    <w:rsid w:val="004F78C6"/>
    <w:rsid w:val="005009C7"/>
    <w:rsid w:val="00501790"/>
    <w:rsid w:val="0050224C"/>
    <w:rsid w:val="0050340D"/>
    <w:rsid w:val="005037A6"/>
    <w:rsid w:val="005077D1"/>
    <w:rsid w:val="005104ED"/>
    <w:rsid w:val="00510960"/>
    <w:rsid w:val="00510A57"/>
    <w:rsid w:val="005128F7"/>
    <w:rsid w:val="00512D53"/>
    <w:rsid w:val="00514883"/>
    <w:rsid w:val="0051571F"/>
    <w:rsid w:val="00515BBC"/>
    <w:rsid w:val="005164CD"/>
    <w:rsid w:val="00516B66"/>
    <w:rsid w:val="00516B96"/>
    <w:rsid w:val="00517D94"/>
    <w:rsid w:val="005201AC"/>
    <w:rsid w:val="00521DA7"/>
    <w:rsid w:val="00521DFE"/>
    <w:rsid w:val="00524710"/>
    <w:rsid w:val="005268EB"/>
    <w:rsid w:val="005273E0"/>
    <w:rsid w:val="00527D57"/>
    <w:rsid w:val="0053119E"/>
    <w:rsid w:val="0053132E"/>
    <w:rsid w:val="00532126"/>
    <w:rsid w:val="00532A04"/>
    <w:rsid w:val="00535A68"/>
    <w:rsid w:val="0054016D"/>
    <w:rsid w:val="0054077F"/>
    <w:rsid w:val="00541DB9"/>
    <w:rsid w:val="005520B4"/>
    <w:rsid w:val="005539FC"/>
    <w:rsid w:val="005555D6"/>
    <w:rsid w:val="00556D01"/>
    <w:rsid w:val="00557405"/>
    <w:rsid w:val="00560149"/>
    <w:rsid w:val="00561C04"/>
    <w:rsid w:val="00561D7F"/>
    <w:rsid w:val="0056213B"/>
    <w:rsid w:val="00562331"/>
    <w:rsid w:val="00562F82"/>
    <w:rsid w:val="0056373B"/>
    <w:rsid w:val="00564913"/>
    <w:rsid w:val="00564978"/>
    <w:rsid w:val="005663FC"/>
    <w:rsid w:val="00566D73"/>
    <w:rsid w:val="00567C15"/>
    <w:rsid w:val="00570B5A"/>
    <w:rsid w:val="0057249A"/>
    <w:rsid w:val="00572663"/>
    <w:rsid w:val="00573BD8"/>
    <w:rsid w:val="00574E34"/>
    <w:rsid w:val="00576256"/>
    <w:rsid w:val="005800D8"/>
    <w:rsid w:val="00581163"/>
    <w:rsid w:val="00581492"/>
    <w:rsid w:val="00584309"/>
    <w:rsid w:val="005846C9"/>
    <w:rsid w:val="005873C4"/>
    <w:rsid w:val="005873FC"/>
    <w:rsid w:val="00590EAF"/>
    <w:rsid w:val="0059549E"/>
    <w:rsid w:val="00595DA6"/>
    <w:rsid w:val="00597AC2"/>
    <w:rsid w:val="00597CA8"/>
    <w:rsid w:val="005A0202"/>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E02"/>
    <w:rsid w:val="005C4633"/>
    <w:rsid w:val="005C76D8"/>
    <w:rsid w:val="005C7D37"/>
    <w:rsid w:val="005D6447"/>
    <w:rsid w:val="005D71B0"/>
    <w:rsid w:val="005E12CE"/>
    <w:rsid w:val="005E1321"/>
    <w:rsid w:val="005E2DD4"/>
    <w:rsid w:val="005E587B"/>
    <w:rsid w:val="005E60E9"/>
    <w:rsid w:val="005E6642"/>
    <w:rsid w:val="005E6C5D"/>
    <w:rsid w:val="005E6D43"/>
    <w:rsid w:val="005E75AD"/>
    <w:rsid w:val="005F333B"/>
    <w:rsid w:val="005F51F9"/>
    <w:rsid w:val="005F6AE0"/>
    <w:rsid w:val="005F6F64"/>
    <w:rsid w:val="005F7566"/>
    <w:rsid w:val="005F76E7"/>
    <w:rsid w:val="005F7AE3"/>
    <w:rsid w:val="005F7B0A"/>
    <w:rsid w:val="00600C49"/>
    <w:rsid w:val="0060296D"/>
    <w:rsid w:val="00604FCF"/>
    <w:rsid w:val="00605C11"/>
    <w:rsid w:val="00606440"/>
    <w:rsid w:val="006078C2"/>
    <w:rsid w:val="006079CD"/>
    <w:rsid w:val="00607EFD"/>
    <w:rsid w:val="00611810"/>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542A"/>
    <w:rsid w:val="006477A7"/>
    <w:rsid w:val="00647C0B"/>
    <w:rsid w:val="0065019F"/>
    <w:rsid w:val="00651A2B"/>
    <w:rsid w:val="00652486"/>
    <w:rsid w:val="006536A3"/>
    <w:rsid w:val="006549BF"/>
    <w:rsid w:val="00655AAF"/>
    <w:rsid w:val="00655DFF"/>
    <w:rsid w:val="00656A30"/>
    <w:rsid w:val="00657B28"/>
    <w:rsid w:val="0066135B"/>
    <w:rsid w:val="00661946"/>
    <w:rsid w:val="00663029"/>
    <w:rsid w:val="00666139"/>
    <w:rsid w:val="006673E7"/>
    <w:rsid w:val="00667C76"/>
    <w:rsid w:val="00671932"/>
    <w:rsid w:val="00672293"/>
    <w:rsid w:val="006735EB"/>
    <w:rsid w:val="00674964"/>
    <w:rsid w:val="00675046"/>
    <w:rsid w:val="00675EF4"/>
    <w:rsid w:val="00677831"/>
    <w:rsid w:val="006779CB"/>
    <w:rsid w:val="00680B7E"/>
    <w:rsid w:val="00683B94"/>
    <w:rsid w:val="00686692"/>
    <w:rsid w:val="006876DE"/>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51B2"/>
    <w:rsid w:val="006C038C"/>
    <w:rsid w:val="006C0D78"/>
    <w:rsid w:val="006C17A0"/>
    <w:rsid w:val="006C17D4"/>
    <w:rsid w:val="006C1AC8"/>
    <w:rsid w:val="006C2CC5"/>
    <w:rsid w:val="006C5AAA"/>
    <w:rsid w:val="006C7300"/>
    <w:rsid w:val="006D04BE"/>
    <w:rsid w:val="006D108D"/>
    <w:rsid w:val="006D1B6C"/>
    <w:rsid w:val="006D27E3"/>
    <w:rsid w:val="006D28E7"/>
    <w:rsid w:val="006D2BFA"/>
    <w:rsid w:val="006D4135"/>
    <w:rsid w:val="006D472D"/>
    <w:rsid w:val="006D6798"/>
    <w:rsid w:val="006D70F2"/>
    <w:rsid w:val="006D780E"/>
    <w:rsid w:val="006D7854"/>
    <w:rsid w:val="006E09F2"/>
    <w:rsid w:val="006E1B4C"/>
    <w:rsid w:val="006E2D9C"/>
    <w:rsid w:val="006E53E9"/>
    <w:rsid w:val="006E5777"/>
    <w:rsid w:val="006E6236"/>
    <w:rsid w:val="006E721C"/>
    <w:rsid w:val="006E7344"/>
    <w:rsid w:val="006E7556"/>
    <w:rsid w:val="006E786D"/>
    <w:rsid w:val="006F2599"/>
    <w:rsid w:val="006F3EE2"/>
    <w:rsid w:val="006F55FD"/>
    <w:rsid w:val="006F5EB6"/>
    <w:rsid w:val="00700CBD"/>
    <w:rsid w:val="00702245"/>
    <w:rsid w:val="007028C7"/>
    <w:rsid w:val="00704462"/>
    <w:rsid w:val="007049A5"/>
    <w:rsid w:val="007055DF"/>
    <w:rsid w:val="00710C7E"/>
    <w:rsid w:val="00710F3D"/>
    <w:rsid w:val="00711F32"/>
    <w:rsid w:val="0071215E"/>
    <w:rsid w:val="007145B4"/>
    <w:rsid w:val="007164C4"/>
    <w:rsid w:val="00716ABD"/>
    <w:rsid w:val="00716D39"/>
    <w:rsid w:val="00721D05"/>
    <w:rsid w:val="007220D3"/>
    <w:rsid w:val="00722FC6"/>
    <w:rsid w:val="00725769"/>
    <w:rsid w:val="0072717B"/>
    <w:rsid w:val="00730973"/>
    <w:rsid w:val="007321C2"/>
    <w:rsid w:val="00733DE0"/>
    <w:rsid w:val="007357C5"/>
    <w:rsid w:val="00735A52"/>
    <w:rsid w:val="007366D4"/>
    <w:rsid w:val="0074032D"/>
    <w:rsid w:val="007405A7"/>
    <w:rsid w:val="007406E4"/>
    <w:rsid w:val="0074075A"/>
    <w:rsid w:val="00740D25"/>
    <w:rsid w:val="00741328"/>
    <w:rsid w:val="007417B1"/>
    <w:rsid w:val="00745372"/>
    <w:rsid w:val="00746073"/>
    <w:rsid w:val="00747434"/>
    <w:rsid w:val="00747CCD"/>
    <w:rsid w:val="00747D2C"/>
    <w:rsid w:val="00751601"/>
    <w:rsid w:val="0075654A"/>
    <w:rsid w:val="00756F76"/>
    <w:rsid w:val="00761AF2"/>
    <w:rsid w:val="00762CD1"/>
    <w:rsid w:val="00766275"/>
    <w:rsid w:val="0076696B"/>
    <w:rsid w:val="007679B9"/>
    <w:rsid w:val="007725B4"/>
    <w:rsid w:val="00773785"/>
    <w:rsid w:val="0077505F"/>
    <w:rsid w:val="00775259"/>
    <w:rsid w:val="00776216"/>
    <w:rsid w:val="007763D6"/>
    <w:rsid w:val="00776572"/>
    <w:rsid w:val="0077738D"/>
    <w:rsid w:val="007774C2"/>
    <w:rsid w:val="007775C4"/>
    <w:rsid w:val="00777ADF"/>
    <w:rsid w:val="007806A6"/>
    <w:rsid w:val="00782B4B"/>
    <w:rsid w:val="00787D28"/>
    <w:rsid w:val="0079000C"/>
    <w:rsid w:val="00790B3E"/>
    <w:rsid w:val="00790D93"/>
    <w:rsid w:val="00791CD7"/>
    <w:rsid w:val="00791F2C"/>
    <w:rsid w:val="00792D22"/>
    <w:rsid w:val="0079430D"/>
    <w:rsid w:val="007953B9"/>
    <w:rsid w:val="00795D85"/>
    <w:rsid w:val="0079754C"/>
    <w:rsid w:val="007A1395"/>
    <w:rsid w:val="007A22E9"/>
    <w:rsid w:val="007A24EB"/>
    <w:rsid w:val="007A282D"/>
    <w:rsid w:val="007A3B34"/>
    <w:rsid w:val="007A4F2F"/>
    <w:rsid w:val="007A6B97"/>
    <w:rsid w:val="007A7CE5"/>
    <w:rsid w:val="007B19CE"/>
    <w:rsid w:val="007B1E12"/>
    <w:rsid w:val="007B3771"/>
    <w:rsid w:val="007B547C"/>
    <w:rsid w:val="007B578C"/>
    <w:rsid w:val="007B63FB"/>
    <w:rsid w:val="007B7A0C"/>
    <w:rsid w:val="007B7C23"/>
    <w:rsid w:val="007B7FFE"/>
    <w:rsid w:val="007C0255"/>
    <w:rsid w:val="007C052A"/>
    <w:rsid w:val="007C09C8"/>
    <w:rsid w:val="007C0C22"/>
    <w:rsid w:val="007C13ED"/>
    <w:rsid w:val="007C1651"/>
    <w:rsid w:val="007C17E9"/>
    <w:rsid w:val="007C19EA"/>
    <w:rsid w:val="007C22AA"/>
    <w:rsid w:val="007C22CA"/>
    <w:rsid w:val="007C2707"/>
    <w:rsid w:val="007C29D5"/>
    <w:rsid w:val="007C2DF5"/>
    <w:rsid w:val="007C6623"/>
    <w:rsid w:val="007D0D04"/>
    <w:rsid w:val="007D1A27"/>
    <w:rsid w:val="007D3572"/>
    <w:rsid w:val="007D3FCB"/>
    <w:rsid w:val="007D4EB0"/>
    <w:rsid w:val="007D501A"/>
    <w:rsid w:val="007D5105"/>
    <w:rsid w:val="007D7C0A"/>
    <w:rsid w:val="007E103C"/>
    <w:rsid w:val="007E2386"/>
    <w:rsid w:val="007E2F52"/>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43F"/>
    <w:rsid w:val="007F0511"/>
    <w:rsid w:val="007F2093"/>
    <w:rsid w:val="007F2AE5"/>
    <w:rsid w:val="007F2D73"/>
    <w:rsid w:val="007F370B"/>
    <w:rsid w:val="007F52E1"/>
    <w:rsid w:val="007F6AB0"/>
    <w:rsid w:val="007F77AD"/>
    <w:rsid w:val="0080094D"/>
    <w:rsid w:val="00800EAB"/>
    <w:rsid w:val="00802670"/>
    <w:rsid w:val="00803615"/>
    <w:rsid w:val="00803805"/>
    <w:rsid w:val="00803F6B"/>
    <w:rsid w:val="00804C68"/>
    <w:rsid w:val="00805337"/>
    <w:rsid w:val="0080582D"/>
    <w:rsid w:val="008059CD"/>
    <w:rsid w:val="0080756C"/>
    <w:rsid w:val="00807FAE"/>
    <w:rsid w:val="0081158F"/>
    <w:rsid w:val="00812BA8"/>
    <w:rsid w:val="0081364D"/>
    <w:rsid w:val="008152DB"/>
    <w:rsid w:val="00815792"/>
    <w:rsid w:val="008203A8"/>
    <w:rsid w:val="00824831"/>
    <w:rsid w:val="008251AB"/>
    <w:rsid w:val="00825ABA"/>
    <w:rsid w:val="00825E37"/>
    <w:rsid w:val="00831204"/>
    <w:rsid w:val="00831208"/>
    <w:rsid w:val="00831253"/>
    <w:rsid w:val="00835378"/>
    <w:rsid w:val="00835A02"/>
    <w:rsid w:val="00836387"/>
    <w:rsid w:val="00836CC9"/>
    <w:rsid w:val="00837428"/>
    <w:rsid w:val="0083796E"/>
    <w:rsid w:val="00840BF1"/>
    <w:rsid w:val="00841859"/>
    <w:rsid w:val="008429CF"/>
    <w:rsid w:val="0084405B"/>
    <w:rsid w:val="00844390"/>
    <w:rsid w:val="008443C4"/>
    <w:rsid w:val="008446E2"/>
    <w:rsid w:val="00844CEC"/>
    <w:rsid w:val="00845630"/>
    <w:rsid w:val="0084609A"/>
    <w:rsid w:val="0084708B"/>
    <w:rsid w:val="00847E19"/>
    <w:rsid w:val="00850CD3"/>
    <w:rsid w:val="0085112C"/>
    <w:rsid w:val="0085183E"/>
    <w:rsid w:val="00853766"/>
    <w:rsid w:val="00856B1B"/>
    <w:rsid w:val="0085724C"/>
    <w:rsid w:val="00857D58"/>
    <w:rsid w:val="008601A9"/>
    <w:rsid w:val="00860B1C"/>
    <w:rsid w:val="00860C62"/>
    <w:rsid w:val="00862ACD"/>
    <w:rsid w:val="00863657"/>
    <w:rsid w:val="00863FCD"/>
    <w:rsid w:val="0086517F"/>
    <w:rsid w:val="00865B0D"/>
    <w:rsid w:val="0086668A"/>
    <w:rsid w:val="00867351"/>
    <w:rsid w:val="00871B33"/>
    <w:rsid w:val="00872949"/>
    <w:rsid w:val="008730BB"/>
    <w:rsid w:val="00873E83"/>
    <w:rsid w:val="0087481E"/>
    <w:rsid w:val="008748E2"/>
    <w:rsid w:val="008753F7"/>
    <w:rsid w:val="00877391"/>
    <w:rsid w:val="00877B4E"/>
    <w:rsid w:val="0088134D"/>
    <w:rsid w:val="008813C8"/>
    <w:rsid w:val="00883C32"/>
    <w:rsid w:val="00885CDD"/>
    <w:rsid w:val="008874C6"/>
    <w:rsid w:val="00887874"/>
    <w:rsid w:val="00887E41"/>
    <w:rsid w:val="0089287C"/>
    <w:rsid w:val="00892D75"/>
    <w:rsid w:val="008941DB"/>
    <w:rsid w:val="00895940"/>
    <w:rsid w:val="008A0E9B"/>
    <w:rsid w:val="008A16EA"/>
    <w:rsid w:val="008A2C5D"/>
    <w:rsid w:val="008A5209"/>
    <w:rsid w:val="008A5DDC"/>
    <w:rsid w:val="008A5FC8"/>
    <w:rsid w:val="008B2929"/>
    <w:rsid w:val="008B31F9"/>
    <w:rsid w:val="008B321E"/>
    <w:rsid w:val="008B428B"/>
    <w:rsid w:val="008B47F3"/>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ACE"/>
    <w:rsid w:val="008D51CC"/>
    <w:rsid w:val="008D648F"/>
    <w:rsid w:val="008E0CD1"/>
    <w:rsid w:val="008E1CB2"/>
    <w:rsid w:val="008E4F95"/>
    <w:rsid w:val="008E5366"/>
    <w:rsid w:val="008F1DB3"/>
    <w:rsid w:val="008F1FC1"/>
    <w:rsid w:val="008F2238"/>
    <w:rsid w:val="008F35DC"/>
    <w:rsid w:val="008F3F6B"/>
    <w:rsid w:val="008F4D52"/>
    <w:rsid w:val="008F4E41"/>
    <w:rsid w:val="008F5276"/>
    <w:rsid w:val="0090049C"/>
    <w:rsid w:val="009015BF"/>
    <w:rsid w:val="0090240E"/>
    <w:rsid w:val="00902F57"/>
    <w:rsid w:val="0090408D"/>
    <w:rsid w:val="00904C80"/>
    <w:rsid w:val="00904E6B"/>
    <w:rsid w:val="0090523A"/>
    <w:rsid w:val="00905E74"/>
    <w:rsid w:val="00906EEC"/>
    <w:rsid w:val="00910AE9"/>
    <w:rsid w:val="0091376B"/>
    <w:rsid w:val="00913F33"/>
    <w:rsid w:val="00914204"/>
    <w:rsid w:val="00914392"/>
    <w:rsid w:val="009143B2"/>
    <w:rsid w:val="00915C7E"/>
    <w:rsid w:val="009206C0"/>
    <w:rsid w:val="00922606"/>
    <w:rsid w:val="00922D31"/>
    <w:rsid w:val="0092559F"/>
    <w:rsid w:val="0092607C"/>
    <w:rsid w:val="00930F94"/>
    <w:rsid w:val="00931141"/>
    <w:rsid w:val="00931C86"/>
    <w:rsid w:val="00935665"/>
    <w:rsid w:val="00935B30"/>
    <w:rsid w:val="00936A4E"/>
    <w:rsid w:val="00936E77"/>
    <w:rsid w:val="00937965"/>
    <w:rsid w:val="00940C55"/>
    <w:rsid w:val="00941580"/>
    <w:rsid w:val="0094383E"/>
    <w:rsid w:val="00944E0C"/>
    <w:rsid w:val="00945CE8"/>
    <w:rsid w:val="00946D8B"/>
    <w:rsid w:val="00946DD8"/>
    <w:rsid w:val="00950D81"/>
    <w:rsid w:val="00952A05"/>
    <w:rsid w:val="009543EB"/>
    <w:rsid w:val="00954978"/>
    <w:rsid w:val="00954B1B"/>
    <w:rsid w:val="009620E6"/>
    <w:rsid w:val="009623AB"/>
    <w:rsid w:val="009631C3"/>
    <w:rsid w:val="00967ED7"/>
    <w:rsid w:val="00970A6B"/>
    <w:rsid w:val="00971171"/>
    <w:rsid w:val="009713C6"/>
    <w:rsid w:val="00971D9B"/>
    <w:rsid w:val="009731EC"/>
    <w:rsid w:val="009732E9"/>
    <w:rsid w:val="009737D9"/>
    <w:rsid w:val="00973E3A"/>
    <w:rsid w:val="009763C4"/>
    <w:rsid w:val="009803F1"/>
    <w:rsid w:val="009828C6"/>
    <w:rsid w:val="00982964"/>
    <w:rsid w:val="009844F7"/>
    <w:rsid w:val="00984753"/>
    <w:rsid w:val="00984AA1"/>
    <w:rsid w:val="00985462"/>
    <w:rsid w:val="009861AC"/>
    <w:rsid w:val="0099079E"/>
    <w:rsid w:val="0099189A"/>
    <w:rsid w:val="00992870"/>
    <w:rsid w:val="00993AB6"/>
    <w:rsid w:val="00993DDC"/>
    <w:rsid w:val="00994079"/>
    <w:rsid w:val="00995FFD"/>
    <w:rsid w:val="00997F4B"/>
    <w:rsid w:val="009A1928"/>
    <w:rsid w:val="009A1D44"/>
    <w:rsid w:val="009A244C"/>
    <w:rsid w:val="009A2BBB"/>
    <w:rsid w:val="009A3612"/>
    <w:rsid w:val="009A4059"/>
    <w:rsid w:val="009A4372"/>
    <w:rsid w:val="009A44C8"/>
    <w:rsid w:val="009A45B0"/>
    <w:rsid w:val="009A6A6F"/>
    <w:rsid w:val="009A735F"/>
    <w:rsid w:val="009B07DC"/>
    <w:rsid w:val="009B1B69"/>
    <w:rsid w:val="009B533B"/>
    <w:rsid w:val="009B7570"/>
    <w:rsid w:val="009C016D"/>
    <w:rsid w:val="009C1051"/>
    <w:rsid w:val="009C16FB"/>
    <w:rsid w:val="009C37B1"/>
    <w:rsid w:val="009C3B95"/>
    <w:rsid w:val="009C3C80"/>
    <w:rsid w:val="009C470D"/>
    <w:rsid w:val="009C638B"/>
    <w:rsid w:val="009D217F"/>
    <w:rsid w:val="009D3626"/>
    <w:rsid w:val="009D3B66"/>
    <w:rsid w:val="009D51BE"/>
    <w:rsid w:val="009D68FB"/>
    <w:rsid w:val="009E04B3"/>
    <w:rsid w:val="009E0DFC"/>
    <w:rsid w:val="009E2E56"/>
    <w:rsid w:val="009E442B"/>
    <w:rsid w:val="009E5252"/>
    <w:rsid w:val="009E5B74"/>
    <w:rsid w:val="009E6E9A"/>
    <w:rsid w:val="009E7C14"/>
    <w:rsid w:val="009F094B"/>
    <w:rsid w:val="009F0A01"/>
    <w:rsid w:val="009F3B2B"/>
    <w:rsid w:val="009F3CA2"/>
    <w:rsid w:val="009F419C"/>
    <w:rsid w:val="009F43E0"/>
    <w:rsid w:val="009F62D9"/>
    <w:rsid w:val="00A01D7B"/>
    <w:rsid w:val="00A04583"/>
    <w:rsid w:val="00A04D6C"/>
    <w:rsid w:val="00A055A5"/>
    <w:rsid w:val="00A07328"/>
    <w:rsid w:val="00A07AE0"/>
    <w:rsid w:val="00A116EB"/>
    <w:rsid w:val="00A12A7C"/>
    <w:rsid w:val="00A1330E"/>
    <w:rsid w:val="00A138DE"/>
    <w:rsid w:val="00A140F7"/>
    <w:rsid w:val="00A15328"/>
    <w:rsid w:val="00A15C64"/>
    <w:rsid w:val="00A215A8"/>
    <w:rsid w:val="00A22790"/>
    <w:rsid w:val="00A23838"/>
    <w:rsid w:val="00A23944"/>
    <w:rsid w:val="00A25FA0"/>
    <w:rsid w:val="00A2678B"/>
    <w:rsid w:val="00A31A3C"/>
    <w:rsid w:val="00A320C1"/>
    <w:rsid w:val="00A32E8A"/>
    <w:rsid w:val="00A33A20"/>
    <w:rsid w:val="00A33F37"/>
    <w:rsid w:val="00A34A91"/>
    <w:rsid w:val="00A35C5C"/>
    <w:rsid w:val="00A36AB7"/>
    <w:rsid w:val="00A374EB"/>
    <w:rsid w:val="00A402A1"/>
    <w:rsid w:val="00A42BA7"/>
    <w:rsid w:val="00A44175"/>
    <w:rsid w:val="00A444A7"/>
    <w:rsid w:val="00A45A85"/>
    <w:rsid w:val="00A475B0"/>
    <w:rsid w:val="00A50839"/>
    <w:rsid w:val="00A50D22"/>
    <w:rsid w:val="00A512C3"/>
    <w:rsid w:val="00A5223C"/>
    <w:rsid w:val="00A528B0"/>
    <w:rsid w:val="00A54E22"/>
    <w:rsid w:val="00A55140"/>
    <w:rsid w:val="00A55639"/>
    <w:rsid w:val="00A571FE"/>
    <w:rsid w:val="00A57DDC"/>
    <w:rsid w:val="00A60300"/>
    <w:rsid w:val="00A60395"/>
    <w:rsid w:val="00A61836"/>
    <w:rsid w:val="00A61ECB"/>
    <w:rsid w:val="00A6287E"/>
    <w:rsid w:val="00A631C4"/>
    <w:rsid w:val="00A64A3F"/>
    <w:rsid w:val="00A6710A"/>
    <w:rsid w:val="00A67354"/>
    <w:rsid w:val="00A71593"/>
    <w:rsid w:val="00A72644"/>
    <w:rsid w:val="00A72B79"/>
    <w:rsid w:val="00A73BD7"/>
    <w:rsid w:val="00A742C7"/>
    <w:rsid w:val="00A7453E"/>
    <w:rsid w:val="00A753C0"/>
    <w:rsid w:val="00A75510"/>
    <w:rsid w:val="00A77C2C"/>
    <w:rsid w:val="00A80062"/>
    <w:rsid w:val="00A8095B"/>
    <w:rsid w:val="00A82146"/>
    <w:rsid w:val="00A8563A"/>
    <w:rsid w:val="00A856EB"/>
    <w:rsid w:val="00A9022E"/>
    <w:rsid w:val="00A902D4"/>
    <w:rsid w:val="00A92408"/>
    <w:rsid w:val="00A9408B"/>
    <w:rsid w:val="00A9464D"/>
    <w:rsid w:val="00A94974"/>
    <w:rsid w:val="00A9539C"/>
    <w:rsid w:val="00A95683"/>
    <w:rsid w:val="00A9641B"/>
    <w:rsid w:val="00A96E34"/>
    <w:rsid w:val="00AA1165"/>
    <w:rsid w:val="00AA1480"/>
    <w:rsid w:val="00AA1E32"/>
    <w:rsid w:val="00AA2A10"/>
    <w:rsid w:val="00AA397F"/>
    <w:rsid w:val="00AA3F31"/>
    <w:rsid w:val="00AA4625"/>
    <w:rsid w:val="00AA5517"/>
    <w:rsid w:val="00AB0E0D"/>
    <w:rsid w:val="00AB1F1A"/>
    <w:rsid w:val="00AB31D7"/>
    <w:rsid w:val="00AB53E4"/>
    <w:rsid w:val="00AB5467"/>
    <w:rsid w:val="00AC2BEF"/>
    <w:rsid w:val="00AC2F08"/>
    <w:rsid w:val="00AC35B2"/>
    <w:rsid w:val="00AC4F34"/>
    <w:rsid w:val="00AC6EC2"/>
    <w:rsid w:val="00AD13C0"/>
    <w:rsid w:val="00AD1F3E"/>
    <w:rsid w:val="00AD2036"/>
    <w:rsid w:val="00AD22E3"/>
    <w:rsid w:val="00AD4439"/>
    <w:rsid w:val="00AD44C9"/>
    <w:rsid w:val="00AD76F2"/>
    <w:rsid w:val="00AD7D03"/>
    <w:rsid w:val="00AE0C9B"/>
    <w:rsid w:val="00AE1224"/>
    <w:rsid w:val="00AE12C5"/>
    <w:rsid w:val="00AE18A3"/>
    <w:rsid w:val="00AE3A4B"/>
    <w:rsid w:val="00AE3A63"/>
    <w:rsid w:val="00AE4755"/>
    <w:rsid w:val="00AE5416"/>
    <w:rsid w:val="00AE5435"/>
    <w:rsid w:val="00AE645C"/>
    <w:rsid w:val="00AF2918"/>
    <w:rsid w:val="00AF3ABE"/>
    <w:rsid w:val="00AF6286"/>
    <w:rsid w:val="00AF6959"/>
    <w:rsid w:val="00AF7AC8"/>
    <w:rsid w:val="00B00520"/>
    <w:rsid w:val="00B00B25"/>
    <w:rsid w:val="00B00F8E"/>
    <w:rsid w:val="00B014D0"/>
    <w:rsid w:val="00B02156"/>
    <w:rsid w:val="00B03B39"/>
    <w:rsid w:val="00B03CB0"/>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21C"/>
    <w:rsid w:val="00B34514"/>
    <w:rsid w:val="00B34550"/>
    <w:rsid w:val="00B34F46"/>
    <w:rsid w:val="00B35482"/>
    <w:rsid w:val="00B3755C"/>
    <w:rsid w:val="00B37837"/>
    <w:rsid w:val="00B379BC"/>
    <w:rsid w:val="00B37F7E"/>
    <w:rsid w:val="00B42043"/>
    <w:rsid w:val="00B432A0"/>
    <w:rsid w:val="00B45473"/>
    <w:rsid w:val="00B457B8"/>
    <w:rsid w:val="00B4738B"/>
    <w:rsid w:val="00B476AF"/>
    <w:rsid w:val="00B47F92"/>
    <w:rsid w:val="00B517F7"/>
    <w:rsid w:val="00B51B4C"/>
    <w:rsid w:val="00B51EBF"/>
    <w:rsid w:val="00B52AFC"/>
    <w:rsid w:val="00B52EFE"/>
    <w:rsid w:val="00B5355F"/>
    <w:rsid w:val="00B56016"/>
    <w:rsid w:val="00B57479"/>
    <w:rsid w:val="00B60331"/>
    <w:rsid w:val="00B60A8A"/>
    <w:rsid w:val="00B60DCA"/>
    <w:rsid w:val="00B62181"/>
    <w:rsid w:val="00B6305A"/>
    <w:rsid w:val="00B6369D"/>
    <w:rsid w:val="00B63C73"/>
    <w:rsid w:val="00B642C5"/>
    <w:rsid w:val="00B66F3E"/>
    <w:rsid w:val="00B672B3"/>
    <w:rsid w:val="00B678CC"/>
    <w:rsid w:val="00B678DB"/>
    <w:rsid w:val="00B712C3"/>
    <w:rsid w:val="00B7367C"/>
    <w:rsid w:val="00B762FC"/>
    <w:rsid w:val="00B76DB6"/>
    <w:rsid w:val="00B76EA0"/>
    <w:rsid w:val="00B77761"/>
    <w:rsid w:val="00B77B51"/>
    <w:rsid w:val="00B77DBF"/>
    <w:rsid w:val="00B80269"/>
    <w:rsid w:val="00B8044D"/>
    <w:rsid w:val="00B810DF"/>
    <w:rsid w:val="00B81FBB"/>
    <w:rsid w:val="00B823AE"/>
    <w:rsid w:val="00B84851"/>
    <w:rsid w:val="00B84D94"/>
    <w:rsid w:val="00B85414"/>
    <w:rsid w:val="00B86D63"/>
    <w:rsid w:val="00B902B9"/>
    <w:rsid w:val="00B90708"/>
    <w:rsid w:val="00B910E0"/>
    <w:rsid w:val="00B92C59"/>
    <w:rsid w:val="00B93BA2"/>
    <w:rsid w:val="00B94985"/>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2FB9"/>
    <w:rsid w:val="00BC37B8"/>
    <w:rsid w:val="00BC4189"/>
    <w:rsid w:val="00BC4227"/>
    <w:rsid w:val="00BC4340"/>
    <w:rsid w:val="00BC54CD"/>
    <w:rsid w:val="00BC56F5"/>
    <w:rsid w:val="00BC615D"/>
    <w:rsid w:val="00BC6CD8"/>
    <w:rsid w:val="00BD1366"/>
    <w:rsid w:val="00BD1AC1"/>
    <w:rsid w:val="00BD1D46"/>
    <w:rsid w:val="00BD3419"/>
    <w:rsid w:val="00BD43E5"/>
    <w:rsid w:val="00BD5479"/>
    <w:rsid w:val="00BD57E7"/>
    <w:rsid w:val="00BD57EF"/>
    <w:rsid w:val="00BD59E3"/>
    <w:rsid w:val="00BD771F"/>
    <w:rsid w:val="00BD7FD7"/>
    <w:rsid w:val="00BE0315"/>
    <w:rsid w:val="00BE05F0"/>
    <w:rsid w:val="00BE091A"/>
    <w:rsid w:val="00BE1772"/>
    <w:rsid w:val="00BE1DEB"/>
    <w:rsid w:val="00BE4EC9"/>
    <w:rsid w:val="00BF0A46"/>
    <w:rsid w:val="00BF0E8E"/>
    <w:rsid w:val="00BF1A7F"/>
    <w:rsid w:val="00BF3E91"/>
    <w:rsid w:val="00BF561D"/>
    <w:rsid w:val="00BF70EF"/>
    <w:rsid w:val="00C00474"/>
    <w:rsid w:val="00C00F37"/>
    <w:rsid w:val="00C01051"/>
    <w:rsid w:val="00C02A99"/>
    <w:rsid w:val="00C02CE8"/>
    <w:rsid w:val="00C03F51"/>
    <w:rsid w:val="00C10CC7"/>
    <w:rsid w:val="00C111ED"/>
    <w:rsid w:val="00C11DF8"/>
    <w:rsid w:val="00C13225"/>
    <w:rsid w:val="00C136A2"/>
    <w:rsid w:val="00C14C86"/>
    <w:rsid w:val="00C15313"/>
    <w:rsid w:val="00C15A5F"/>
    <w:rsid w:val="00C15F63"/>
    <w:rsid w:val="00C17715"/>
    <w:rsid w:val="00C229F8"/>
    <w:rsid w:val="00C2369A"/>
    <w:rsid w:val="00C25365"/>
    <w:rsid w:val="00C25B02"/>
    <w:rsid w:val="00C322F1"/>
    <w:rsid w:val="00C33284"/>
    <w:rsid w:val="00C33F76"/>
    <w:rsid w:val="00C34398"/>
    <w:rsid w:val="00C343E5"/>
    <w:rsid w:val="00C351A6"/>
    <w:rsid w:val="00C35A4C"/>
    <w:rsid w:val="00C35E0D"/>
    <w:rsid w:val="00C371FA"/>
    <w:rsid w:val="00C377A2"/>
    <w:rsid w:val="00C46F61"/>
    <w:rsid w:val="00C47598"/>
    <w:rsid w:val="00C47BB2"/>
    <w:rsid w:val="00C47CC5"/>
    <w:rsid w:val="00C51A32"/>
    <w:rsid w:val="00C51C28"/>
    <w:rsid w:val="00C53456"/>
    <w:rsid w:val="00C53E6D"/>
    <w:rsid w:val="00C55EA7"/>
    <w:rsid w:val="00C60C2D"/>
    <w:rsid w:val="00C6161D"/>
    <w:rsid w:val="00C6162E"/>
    <w:rsid w:val="00C62E87"/>
    <w:rsid w:val="00C65399"/>
    <w:rsid w:val="00C65917"/>
    <w:rsid w:val="00C66F6D"/>
    <w:rsid w:val="00C70043"/>
    <w:rsid w:val="00C71B5B"/>
    <w:rsid w:val="00C7208D"/>
    <w:rsid w:val="00C721DE"/>
    <w:rsid w:val="00C73861"/>
    <w:rsid w:val="00C7432C"/>
    <w:rsid w:val="00C75791"/>
    <w:rsid w:val="00C75F30"/>
    <w:rsid w:val="00C76304"/>
    <w:rsid w:val="00C76427"/>
    <w:rsid w:val="00C77F90"/>
    <w:rsid w:val="00C80554"/>
    <w:rsid w:val="00C84955"/>
    <w:rsid w:val="00C84A39"/>
    <w:rsid w:val="00C85FED"/>
    <w:rsid w:val="00C86467"/>
    <w:rsid w:val="00C87199"/>
    <w:rsid w:val="00C87C55"/>
    <w:rsid w:val="00C912FD"/>
    <w:rsid w:val="00C95C72"/>
    <w:rsid w:val="00C95FE9"/>
    <w:rsid w:val="00C96B86"/>
    <w:rsid w:val="00C971F9"/>
    <w:rsid w:val="00C97DF7"/>
    <w:rsid w:val="00CA14C9"/>
    <w:rsid w:val="00CA1A6A"/>
    <w:rsid w:val="00CA24FB"/>
    <w:rsid w:val="00CA27D6"/>
    <w:rsid w:val="00CA3BB6"/>
    <w:rsid w:val="00CA6108"/>
    <w:rsid w:val="00CA64D5"/>
    <w:rsid w:val="00CB1877"/>
    <w:rsid w:val="00CB3201"/>
    <w:rsid w:val="00CB3415"/>
    <w:rsid w:val="00CB4329"/>
    <w:rsid w:val="00CB6290"/>
    <w:rsid w:val="00CB638D"/>
    <w:rsid w:val="00CB766B"/>
    <w:rsid w:val="00CC191C"/>
    <w:rsid w:val="00CC26CC"/>
    <w:rsid w:val="00CC356D"/>
    <w:rsid w:val="00CC3FEB"/>
    <w:rsid w:val="00CC41F9"/>
    <w:rsid w:val="00CC6F87"/>
    <w:rsid w:val="00CD0EF3"/>
    <w:rsid w:val="00CD109D"/>
    <w:rsid w:val="00CD1E9D"/>
    <w:rsid w:val="00CD2D54"/>
    <w:rsid w:val="00CD5288"/>
    <w:rsid w:val="00CD66E6"/>
    <w:rsid w:val="00CD6ABB"/>
    <w:rsid w:val="00CE1983"/>
    <w:rsid w:val="00CE2909"/>
    <w:rsid w:val="00CE417B"/>
    <w:rsid w:val="00CE4994"/>
    <w:rsid w:val="00CE53E5"/>
    <w:rsid w:val="00CE5CF2"/>
    <w:rsid w:val="00CE71E9"/>
    <w:rsid w:val="00CE750F"/>
    <w:rsid w:val="00CF2572"/>
    <w:rsid w:val="00CF25A1"/>
    <w:rsid w:val="00CF2FFE"/>
    <w:rsid w:val="00CF3124"/>
    <w:rsid w:val="00CF461F"/>
    <w:rsid w:val="00CF6B77"/>
    <w:rsid w:val="00CF71E3"/>
    <w:rsid w:val="00D00723"/>
    <w:rsid w:val="00D00A5D"/>
    <w:rsid w:val="00D00A87"/>
    <w:rsid w:val="00D01354"/>
    <w:rsid w:val="00D01910"/>
    <w:rsid w:val="00D02F2F"/>
    <w:rsid w:val="00D03CB9"/>
    <w:rsid w:val="00D04494"/>
    <w:rsid w:val="00D05411"/>
    <w:rsid w:val="00D055F6"/>
    <w:rsid w:val="00D06476"/>
    <w:rsid w:val="00D06995"/>
    <w:rsid w:val="00D13087"/>
    <w:rsid w:val="00D13E99"/>
    <w:rsid w:val="00D1650F"/>
    <w:rsid w:val="00D16FA0"/>
    <w:rsid w:val="00D17378"/>
    <w:rsid w:val="00D216B2"/>
    <w:rsid w:val="00D26479"/>
    <w:rsid w:val="00D26DCE"/>
    <w:rsid w:val="00D27D7D"/>
    <w:rsid w:val="00D319AD"/>
    <w:rsid w:val="00D3275F"/>
    <w:rsid w:val="00D341F3"/>
    <w:rsid w:val="00D34548"/>
    <w:rsid w:val="00D34914"/>
    <w:rsid w:val="00D37A37"/>
    <w:rsid w:val="00D4128C"/>
    <w:rsid w:val="00D41A9B"/>
    <w:rsid w:val="00D4411B"/>
    <w:rsid w:val="00D44EC6"/>
    <w:rsid w:val="00D4554A"/>
    <w:rsid w:val="00D4671A"/>
    <w:rsid w:val="00D5130A"/>
    <w:rsid w:val="00D51533"/>
    <w:rsid w:val="00D51769"/>
    <w:rsid w:val="00D520F4"/>
    <w:rsid w:val="00D522D8"/>
    <w:rsid w:val="00D5491C"/>
    <w:rsid w:val="00D54CCF"/>
    <w:rsid w:val="00D554E8"/>
    <w:rsid w:val="00D55E12"/>
    <w:rsid w:val="00D5748E"/>
    <w:rsid w:val="00D612A9"/>
    <w:rsid w:val="00D6411E"/>
    <w:rsid w:val="00D64482"/>
    <w:rsid w:val="00D66935"/>
    <w:rsid w:val="00D66E90"/>
    <w:rsid w:val="00D735D0"/>
    <w:rsid w:val="00D80021"/>
    <w:rsid w:val="00D80DBA"/>
    <w:rsid w:val="00D84C22"/>
    <w:rsid w:val="00D857FC"/>
    <w:rsid w:val="00D858D9"/>
    <w:rsid w:val="00D8724C"/>
    <w:rsid w:val="00D877F8"/>
    <w:rsid w:val="00D87E37"/>
    <w:rsid w:val="00D93004"/>
    <w:rsid w:val="00D93279"/>
    <w:rsid w:val="00D93711"/>
    <w:rsid w:val="00D938C1"/>
    <w:rsid w:val="00D942C4"/>
    <w:rsid w:val="00D96D2A"/>
    <w:rsid w:val="00DA09A5"/>
    <w:rsid w:val="00DA1E0A"/>
    <w:rsid w:val="00DA2C76"/>
    <w:rsid w:val="00DA466E"/>
    <w:rsid w:val="00DA47A8"/>
    <w:rsid w:val="00DA7D61"/>
    <w:rsid w:val="00DB05A8"/>
    <w:rsid w:val="00DB1890"/>
    <w:rsid w:val="00DB3592"/>
    <w:rsid w:val="00DB47E5"/>
    <w:rsid w:val="00DB4C93"/>
    <w:rsid w:val="00DB5421"/>
    <w:rsid w:val="00DB64F4"/>
    <w:rsid w:val="00DC2894"/>
    <w:rsid w:val="00DC3F8A"/>
    <w:rsid w:val="00DC795E"/>
    <w:rsid w:val="00DD0072"/>
    <w:rsid w:val="00DD1537"/>
    <w:rsid w:val="00DD3A14"/>
    <w:rsid w:val="00DD46E9"/>
    <w:rsid w:val="00DD5B54"/>
    <w:rsid w:val="00DD740A"/>
    <w:rsid w:val="00DD7F26"/>
    <w:rsid w:val="00DE0D00"/>
    <w:rsid w:val="00DE0E1B"/>
    <w:rsid w:val="00DE16CD"/>
    <w:rsid w:val="00DE2C8D"/>
    <w:rsid w:val="00DE6492"/>
    <w:rsid w:val="00DE6780"/>
    <w:rsid w:val="00DF280B"/>
    <w:rsid w:val="00DF28B7"/>
    <w:rsid w:val="00DF3079"/>
    <w:rsid w:val="00DF30FC"/>
    <w:rsid w:val="00DF3345"/>
    <w:rsid w:val="00DF383D"/>
    <w:rsid w:val="00DF5F6C"/>
    <w:rsid w:val="00DF68C0"/>
    <w:rsid w:val="00DF7650"/>
    <w:rsid w:val="00DF7F5A"/>
    <w:rsid w:val="00E00270"/>
    <w:rsid w:val="00E00332"/>
    <w:rsid w:val="00E00FFD"/>
    <w:rsid w:val="00E02A02"/>
    <w:rsid w:val="00E039F9"/>
    <w:rsid w:val="00E04590"/>
    <w:rsid w:val="00E04C02"/>
    <w:rsid w:val="00E053B2"/>
    <w:rsid w:val="00E0617A"/>
    <w:rsid w:val="00E064D3"/>
    <w:rsid w:val="00E06595"/>
    <w:rsid w:val="00E12316"/>
    <w:rsid w:val="00E1277F"/>
    <w:rsid w:val="00E139D5"/>
    <w:rsid w:val="00E14CA5"/>
    <w:rsid w:val="00E15202"/>
    <w:rsid w:val="00E152DF"/>
    <w:rsid w:val="00E15505"/>
    <w:rsid w:val="00E15AF3"/>
    <w:rsid w:val="00E22D1B"/>
    <w:rsid w:val="00E235F5"/>
    <w:rsid w:val="00E23783"/>
    <w:rsid w:val="00E256E5"/>
    <w:rsid w:val="00E26411"/>
    <w:rsid w:val="00E27AE8"/>
    <w:rsid w:val="00E3008F"/>
    <w:rsid w:val="00E307B6"/>
    <w:rsid w:val="00E31C60"/>
    <w:rsid w:val="00E32E9C"/>
    <w:rsid w:val="00E34EBE"/>
    <w:rsid w:val="00E34F85"/>
    <w:rsid w:val="00E372C9"/>
    <w:rsid w:val="00E41386"/>
    <w:rsid w:val="00E4196F"/>
    <w:rsid w:val="00E41A87"/>
    <w:rsid w:val="00E41AD6"/>
    <w:rsid w:val="00E42017"/>
    <w:rsid w:val="00E42730"/>
    <w:rsid w:val="00E45AB1"/>
    <w:rsid w:val="00E45C81"/>
    <w:rsid w:val="00E46268"/>
    <w:rsid w:val="00E462F2"/>
    <w:rsid w:val="00E46D98"/>
    <w:rsid w:val="00E523B5"/>
    <w:rsid w:val="00E528F9"/>
    <w:rsid w:val="00E53522"/>
    <w:rsid w:val="00E55854"/>
    <w:rsid w:val="00E56707"/>
    <w:rsid w:val="00E57739"/>
    <w:rsid w:val="00E628AD"/>
    <w:rsid w:val="00E62908"/>
    <w:rsid w:val="00E64339"/>
    <w:rsid w:val="00E677BD"/>
    <w:rsid w:val="00E708BC"/>
    <w:rsid w:val="00E70C44"/>
    <w:rsid w:val="00E72B6E"/>
    <w:rsid w:val="00E74B6D"/>
    <w:rsid w:val="00E76CF0"/>
    <w:rsid w:val="00E775E3"/>
    <w:rsid w:val="00E84570"/>
    <w:rsid w:val="00E8487A"/>
    <w:rsid w:val="00E872A7"/>
    <w:rsid w:val="00E901AB"/>
    <w:rsid w:val="00E90D92"/>
    <w:rsid w:val="00E9292A"/>
    <w:rsid w:val="00E967EA"/>
    <w:rsid w:val="00E97299"/>
    <w:rsid w:val="00E978AC"/>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451E"/>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BE1"/>
    <w:rsid w:val="00ED415E"/>
    <w:rsid w:val="00ED4969"/>
    <w:rsid w:val="00ED56D3"/>
    <w:rsid w:val="00ED60F5"/>
    <w:rsid w:val="00ED78E4"/>
    <w:rsid w:val="00EE0F06"/>
    <w:rsid w:val="00EE220A"/>
    <w:rsid w:val="00EE2448"/>
    <w:rsid w:val="00EE2853"/>
    <w:rsid w:val="00EE352A"/>
    <w:rsid w:val="00EE6B3D"/>
    <w:rsid w:val="00EF2B66"/>
    <w:rsid w:val="00EF5D36"/>
    <w:rsid w:val="00EF66FC"/>
    <w:rsid w:val="00EF6B68"/>
    <w:rsid w:val="00F0135B"/>
    <w:rsid w:val="00F02E73"/>
    <w:rsid w:val="00F10140"/>
    <w:rsid w:val="00F109C7"/>
    <w:rsid w:val="00F11BAF"/>
    <w:rsid w:val="00F11CE3"/>
    <w:rsid w:val="00F132DC"/>
    <w:rsid w:val="00F13A9A"/>
    <w:rsid w:val="00F13B27"/>
    <w:rsid w:val="00F15C07"/>
    <w:rsid w:val="00F16559"/>
    <w:rsid w:val="00F16E77"/>
    <w:rsid w:val="00F16FDF"/>
    <w:rsid w:val="00F17DCE"/>
    <w:rsid w:val="00F17F8F"/>
    <w:rsid w:val="00F22750"/>
    <w:rsid w:val="00F23CA1"/>
    <w:rsid w:val="00F2401A"/>
    <w:rsid w:val="00F257BB"/>
    <w:rsid w:val="00F2646F"/>
    <w:rsid w:val="00F26E33"/>
    <w:rsid w:val="00F27E65"/>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CE1"/>
    <w:rsid w:val="00F6003E"/>
    <w:rsid w:val="00F60839"/>
    <w:rsid w:val="00F61DD5"/>
    <w:rsid w:val="00F62AE5"/>
    <w:rsid w:val="00F62D01"/>
    <w:rsid w:val="00F62EE5"/>
    <w:rsid w:val="00F669C5"/>
    <w:rsid w:val="00F67591"/>
    <w:rsid w:val="00F67C1B"/>
    <w:rsid w:val="00F70195"/>
    <w:rsid w:val="00F72DEA"/>
    <w:rsid w:val="00F75340"/>
    <w:rsid w:val="00F75710"/>
    <w:rsid w:val="00F75739"/>
    <w:rsid w:val="00F75AC9"/>
    <w:rsid w:val="00F75ED1"/>
    <w:rsid w:val="00F7772D"/>
    <w:rsid w:val="00F77814"/>
    <w:rsid w:val="00F803B0"/>
    <w:rsid w:val="00F80409"/>
    <w:rsid w:val="00F80E14"/>
    <w:rsid w:val="00F80E25"/>
    <w:rsid w:val="00F81524"/>
    <w:rsid w:val="00F83362"/>
    <w:rsid w:val="00F85AD7"/>
    <w:rsid w:val="00F8600C"/>
    <w:rsid w:val="00F863C1"/>
    <w:rsid w:val="00F869B7"/>
    <w:rsid w:val="00F86E68"/>
    <w:rsid w:val="00F86EF5"/>
    <w:rsid w:val="00F9005C"/>
    <w:rsid w:val="00F90348"/>
    <w:rsid w:val="00F904AE"/>
    <w:rsid w:val="00F90826"/>
    <w:rsid w:val="00F91CBA"/>
    <w:rsid w:val="00F91DF2"/>
    <w:rsid w:val="00F92513"/>
    <w:rsid w:val="00F93AEB"/>
    <w:rsid w:val="00F9506A"/>
    <w:rsid w:val="00F95B03"/>
    <w:rsid w:val="00F96026"/>
    <w:rsid w:val="00F96B57"/>
    <w:rsid w:val="00F97CE1"/>
    <w:rsid w:val="00FA0966"/>
    <w:rsid w:val="00FA6905"/>
    <w:rsid w:val="00FA7A01"/>
    <w:rsid w:val="00FB03E9"/>
    <w:rsid w:val="00FB231E"/>
    <w:rsid w:val="00FB2F2E"/>
    <w:rsid w:val="00FB37C3"/>
    <w:rsid w:val="00FB4456"/>
    <w:rsid w:val="00FB4D43"/>
    <w:rsid w:val="00FB5485"/>
    <w:rsid w:val="00FB5D74"/>
    <w:rsid w:val="00FB648C"/>
    <w:rsid w:val="00FB6981"/>
    <w:rsid w:val="00FB7076"/>
    <w:rsid w:val="00FC0936"/>
    <w:rsid w:val="00FC21CD"/>
    <w:rsid w:val="00FC3598"/>
    <w:rsid w:val="00FC3A0E"/>
    <w:rsid w:val="00FC3B9D"/>
    <w:rsid w:val="00FC4607"/>
    <w:rsid w:val="00FC5D45"/>
    <w:rsid w:val="00FC5E78"/>
    <w:rsid w:val="00FC691C"/>
    <w:rsid w:val="00FD0A3A"/>
    <w:rsid w:val="00FD16AF"/>
    <w:rsid w:val="00FD18F7"/>
    <w:rsid w:val="00FD1F4D"/>
    <w:rsid w:val="00FD2218"/>
    <w:rsid w:val="00FD2A3E"/>
    <w:rsid w:val="00FD546E"/>
    <w:rsid w:val="00FD7077"/>
    <w:rsid w:val="00FE153D"/>
    <w:rsid w:val="00FE5BBC"/>
    <w:rsid w:val="00FE6638"/>
    <w:rsid w:val="00FE7161"/>
    <w:rsid w:val="00FF2B42"/>
    <w:rsid w:val="00FF454E"/>
    <w:rsid w:val="00FF507F"/>
    <w:rsid w:val="00FF5D4D"/>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E57C0E"/>
  <w15:docId w15:val="{7784F244-FEA3-49CB-8E2D-35281492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semiHidden/>
    <w:unhideWhenUsed/>
    <w:qFormat/>
    <w:rsid w:val="00722FC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har"/>
    <w:uiPriority w:val="9"/>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0"/>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7"/>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C6161D"/>
    <w:rPr>
      <w:b/>
      <w:bCs/>
    </w:rPr>
  </w:style>
  <w:style w:type="paragraph" w:styleId="Remetente">
    <w:name w:val="envelope return"/>
    <w:basedOn w:val="Normal"/>
    <w:semiHidden/>
    <w:unhideWhenUsed/>
    <w:rsid w:val="00F17F8F"/>
    <w:pPr>
      <w:suppressAutoHyphens/>
    </w:pPr>
    <w:rPr>
      <w:rFonts w:ascii="Arial" w:eastAsia="Times New Roman" w:hAnsi="Arial" w:cs="Times New Roman"/>
      <w:sz w:val="20"/>
      <w:szCs w:val="20"/>
    </w:rPr>
  </w:style>
  <w:style w:type="character" w:customStyle="1" w:styleId="MenoPendente1">
    <w:name w:val="Menção Pendente1"/>
    <w:basedOn w:val="Fontepargpadro"/>
    <w:uiPriority w:val="99"/>
    <w:semiHidden/>
    <w:unhideWhenUsed/>
    <w:rsid w:val="008B321E"/>
    <w:rPr>
      <w:color w:val="605E5C"/>
      <w:shd w:val="clear" w:color="auto" w:fill="E1DFDD"/>
    </w:rPr>
  </w:style>
  <w:style w:type="character" w:customStyle="1" w:styleId="Nivel2Char">
    <w:name w:val="Nivel 2 Char"/>
    <w:basedOn w:val="Fontepargpadro"/>
    <w:link w:val="Nivel2"/>
    <w:rsid w:val="000E6C0E"/>
    <w:rPr>
      <w:rFonts w:ascii="Ecofont_Spranq_eco_Sans" w:eastAsia="Arial Unicode MS" w:hAnsi="Ecofont_Spranq_eco_Sans"/>
      <w:lang w:eastAsia="pt-BR"/>
    </w:rPr>
  </w:style>
  <w:style w:type="paragraph" w:customStyle="1" w:styleId="Default">
    <w:name w:val="Default"/>
    <w:rsid w:val="000E6C0E"/>
    <w:pPr>
      <w:autoSpaceDE w:val="0"/>
      <w:autoSpaceDN w:val="0"/>
      <w:adjustRightInd w:val="0"/>
    </w:pPr>
    <w:rPr>
      <w:rFonts w:ascii="Calibri" w:eastAsia="Times New Roman" w:hAnsi="Calibri" w:cs="Calibri"/>
      <w:color w:val="000000"/>
      <w:sz w:val="24"/>
      <w:szCs w:val="24"/>
      <w:lang w:eastAsia="pt-BR"/>
    </w:rPr>
  </w:style>
  <w:style w:type="paragraph" w:customStyle="1" w:styleId="padrao">
    <w:name w:val="padrao"/>
    <w:basedOn w:val="Normal"/>
    <w:uiPriority w:val="99"/>
    <w:rsid w:val="009D51BE"/>
    <w:pPr>
      <w:spacing w:before="100" w:beforeAutospacing="1" w:after="100" w:afterAutospacing="1"/>
    </w:pPr>
    <w:rPr>
      <w:rFonts w:ascii="Times New Roman" w:eastAsia="Times New Roman" w:hAnsi="Times New Roman" w:cs="Times New Roman"/>
    </w:rPr>
  </w:style>
  <w:style w:type="character" w:styleId="TextodoEspaoReservado">
    <w:name w:val="Placeholder Text"/>
    <w:basedOn w:val="Fontepargpadro"/>
    <w:uiPriority w:val="99"/>
    <w:semiHidden/>
    <w:rsid w:val="001F42FC"/>
    <w:rPr>
      <w:color w:val="808080"/>
    </w:rPr>
  </w:style>
  <w:style w:type="paragraph" w:styleId="Reviso">
    <w:name w:val="Revision"/>
    <w:hidden/>
    <w:uiPriority w:val="99"/>
    <w:semiHidden/>
    <w:rsid w:val="001F42FC"/>
    <w:rPr>
      <w:rFonts w:ascii="Arial" w:eastAsia="Times New Roman" w:hAnsi="Arial" w:cs="Tahoma"/>
      <w:szCs w:val="24"/>
      <w:lang w:eastAsia="pt-BR"/>
    </w:rPr>
  </w:style>
  <w:style w:type="paragraph" w:customStyle="1" w:styleId="SombreamentoMdio1-nfase31">
    <w:name w:val="Sombreamento Médio 1 - Ênfase 31"/>
    <w:basedOn w:val="Normal"/>
    <w:next w:val="Normal"/>
    <w:rsid w:val="001F42FC"/>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character" w:customStyle="1" w:styleId="apple-converted-space">
    <w:name w:val="apple-converted-space"/>
    <w:basedOn w:val="Fontepargpadro"/>
    <w:rsid w:val="001F42FC"/>
  </w:style>
  <w:style w:type="paragraph" w:customStyle="1" w:styleId="textojustificado">
    <w:name w:val="texto_justificado"/>
    <w:basedOn w:val="Normal"/>
    <w:rsid w:val="001F42FC"/>
    <w:pPr>
      <w:spacing w:before="100" w:beforeAutospacing="1" w:after="100" w:afterAutospacing="1"/>
    </w:pPr>
    <w:rPr>
      <w:rFonts w:ascii="Times New Roman" w:eastAsia="Times New Roman" w:hAnsi="Times New Roman" w:cs="Times New Roman"/>
    </w:rPr>
  </w:style>
  <w:style w:type="paragraph" w:customStyle="1" w:styleId="Nivel010">
    <w:name w:val="Nivel_01"/>
    <w:basedOn w:val="Ttulo1"/>
    <w:qFormat/>
    <w:rsid w:val="001F42FC"/>
    <w:pPr>
      <w:numPr>
        <w:numId w:val="30"/>
      </w:numPr>
      <w:tabs>
        <w:tab w:val="num" w:pos="360"/>
        <w:tab w:val="left" w:pos="567"/>
      </w:tabs>
      <w:spacing w:before="240"/>
      <w:jc w:val="both"/>
    </w:pPr>
    <w:rPr>
      <w:rFonts w:ascii="Ecofont_Spranq_eco_Sans" w:hAnsi="Ecofont_Spranq_eco_Sans" w:cs="Times New Roman"/>
      <w:color w:val="auto"/>
      <w:sz w:val="20"/>
      <w:szCs w:val="20"/>
    </w:rPr>
  </w:style>
  <w:style w:type="character" w:customStyle="1" w:styleId="GradeColorida-nfase1Char">
    <w:name w:val="Grade Colorida - Ênfase 1 Char"/>
    <w:link w:val="GradeColorida-nfase11"/>
    <w:rsid w:val="001F42FC"/>
    <w:rPr>
      <w:rFonts w:ascii="Ecofont_Spranq_eco_Sans" w:eastAsia="Calibri" w:hAnsi="Ecofont_Spranq_eco_Sans" w:cs="Ecofont_Spranq_eco_Sans"/>
      <w:i/>
      <w:iCs/>
      <w:color w:val="000000"/>
      <w:szCs w:val="24"/>
      <w:shd w:val="clear" w:color="auto" w:fill="FFFFCC"/>
      <w:lang w:val="x-none"/>
    </w:rPr>
  </w:style>
  <w:style w:type="paragraph" w:customStyle="1" w:styleId="GradeColorida-nfase11">
    <w:name w:val="Grade Colorida - Ênfase 11"/>
    <w:basedOn w:val="Normal"/>
    <w:next w:val="Normal"/>
    <w:link w:val="GradeColorida-nfase1Char"/>
    <w:qFormat/>
    <w:rsid w:val="001F42F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Ecofont_Spranq_eco_Sans"/>
      <w:i/>
      <w:iCs/>
      <w:color w:val="000000"/>
      <w:sz w:val="20"/>
      <w:lang w:val="x-none" w:eastAsia="en-US"/>
    </w:rPr>
  </w:style>
  <w:style w:type="character" w:customStyle="1" w:styleId="WW8Num2z1">
    <w:name w:val="WW8Num2z1"/>
    <w:rsid w:val="001F42FC"/>
    <w:rPr>
      <w:i w:val="0"/>
    </w:rPr>
  </w:style>
  <w:style w:type="paragraph" w:customStyle="1" w:styleId="PargrafodaLista2">
    <w:name w:val="Parágrafo da Lista2"/>
    <w:basedOn w:val="Normal"/>
    <w:rsid w:val="001F42FC"/>
    <w:pPr>
      <w:ind w:left="720"/>
    </w:pPr>
    <w:rPr>
      <w:rFonts w:eastAsia="Times New Roman"/>
    </w:rPr>
  </w:style>
  <w:style w:type="paragraph" w:customStyle="1" w:styleId="GradeColorida-nfase110">
    <w:name w:val="Grade Colorida - Ênfase 110"/>
    <w:basedOn w:val="Normal"/>
    <w:next w:val="Normal"/>
    <w:rsid w:val="001F42F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Times New Roman"/>
      <w:i/>
      <w:color w:val="000000"/>
      <w:lang w:eastAsia="en-US"/>
    </w:rPr>
  </w:style>
  <w:style w:type="character" w:styleId="nfase">
    <w:name w:val="Emphasis"/>
    <w:basedOn w:val="Fontepargpadro"/>
    <w:uiPriority w:val="20"/>
    <w:qFormat/>
    <w:rsid w:val="001F42FC"/>
    <w:rPr>
      <w:i/>
      <w:iCs/>
    </w:rPr>
  </w:style>
  <w:style w:type="character" w:styleId="Refdenotaderodap">
    <w:name w:val="footnote reference"/>
    <w:basedOn w:val="Fontepargpadro"/>
    <w:uiPriority w:val="99"/>
    <w:semiHidden/>
    <w:unhideWhenUsed/>
    <w:rsid w:val="0045361E"/>
    <w:rPr>
      <w:vertAlign w:val="superscript"/>
    </w:rPr>
  </w:style>
  <w:style w:type="paragraph" w:styleId="TextosemFormatao">
    <w:name w:val="Plain Text"/>
    <w:basedOn w:val="Normal"/>
    <w:link w:val="TextosemFormataoChar"/>
    <w:uiPriority w:val="99"/>
    <w:unhideWhenUsed/>
    <w:rsid w:val="00E41386"/>
    <w:rPr>
      <w:rFonts w:ascii="Calibri" w:eastAsiaTheme="minorHAnsi" w:hAnsi="Calibri" w:cstheme="minorBidi"/>
      <w:sz w:val="22"/>
      <w:szCs w:val="21"/>
      <w:lang w:eastAsia="en-US"/>
    </w:rPr>
  </w:style>
  <w:style w:type="character" w:customStyle="1" w:styleId="TextosemFormataoChar">
    <w:name w:val="Texto sem Formatação Char"/>
    <w:basedOn w:val="Fontepargpadro"/>
    <w:link w:val="TextosemFormatao"/>
    <w:uiPriority w:val="99"/>
    <w:rsid w:val="00E41386"/>
    <w:rPr>
      <w:rFonts w:ascii="Calibri" w:eastAsiaTheme="minorHAnsi" w:hAnsi="Calibri" w:cstheme="minorBidi"/>
      <w:sz w:val="22"/>
      <w:szCs w:val="21"/>
    </w:rPr>
  </w:style>
  <w:style w:type="paragraph" w:customStyle="1" w:styleId="FirstParagraph">
    <w:name w:val="First Paragraph"/>
    <w:basedOn w:val="Corpodetexto"/>
    <w:next w:val="Corpodetexto"/>
    <w:qFormat/>
    <w:rsid w:val="00795D85"/>
    <w:pPr>
      <w:spacing w:before="180" w:beforeAutospacing="0" w:after="180" w:afterAutospacing="0"/>
    </w:pPr>
    <w:rPr>
      <w:rFonts w:asciiTheme="minorHAnsi" w:eastAsiaTheme="minorEastAsia" w:hAnsiTheme="minorHAnsi" w:cstheme="minorBidi"/>
      <w:lang w:eastAsia="zh-CN"/>
    </w:rPr>
  </w:style>
  <w:style w:type="character" w:customStyle="1" w:styleId="Ttulo3Char">
    <w:name w:val="Título 3 Char"/>
    <w:basedOn w:val="Fontepargpadro"/>
    <w:link w:val="Ttulo3"/>
    <w:semiHidden/>
    <w:rsid w:val="00722FC6"/>
    <w:rPr>
      <w:rFonts w:asciiTheme="majorHAnsi" w:eastAsiaTheme="majorEastAsia" w:hAnsiTheme="majorHAnsi" w:cstheme="majorBidi"/>
      <w:color w:val="243F60" w:themeColor="accent1" w:themeShade="7F"/>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593">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7718095">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68210317">
      <w:bodyDiv w:val="1"/>
      <w:marLeft w:val="0"/>
      <w:marRight w:val="0"/>
      <w:marTop w:val="0"/>
      <w:marBottom w:val="0"/>
      <w:divBdr>
        <w:top w:val="none" w:sz="0" w:space="0" w:color="auto"/>
        <w:left w:val="none" w:sz="0" w:space="0" w:color="auto"/>
        <w:bottom w:val="none" w:sz="0" w:space="0" w:color="auto"/>
        <w:right w:val="none" w:sz="0" w:space="0" w:color="auto"/>
      </w:divBdr>
      <w:divsChild>
        <w:div w:id="1901331150">
          <w:marLeft w:val="0"/>
          <w:marRight w:val="0"/>
          <w:marTop w:val="0"/>
          <w:marBottom w:val="0"/>
          <w:divBdr>
            <w:top w:val="none" w:sz="0" w:space="0" w:color="auto"/>
            <w:left w:val="none" w:sz="0" w:space="0" w:color="auto"/>
            <w:bottom w:val="none" w:sz="0" w:space="0" w:color="auto"/>
            <w:right w:val="none" w:sz="0" w:space="0" w:color="auto"/>
          </w:divBdr>
        </w:div>
        <w:div w:id="1495413444">
          <w:marLeft w:val="0"/>
          <w:marRight w:val="0"/>
          <w:marTop w:val="0"/>
          <w:marBottom w:val="0"/>
          <w:divBdr>
            <w:top w:val="none" w:sz="0" w:space="0" w:color="auto"/>
            <w:left w:val="none" w:sz="0" w:space="0" w:color="auto"/>
            <w:bottom w:val="none" w:sz="0" w:space="0" w:color="auto"/>
            <w:right w:val="none" w:sz="0" w:space="0" w:color="auto"/>
          </w:divBdr>
        </w:div>
      </w:divsChild>
    </w:div>
    <w:div w:id="519272351">
      <w:bodyDiv w:val="1"/>
      <w:marLeft w:val="0"/>
      <w:marRight w:val="0"/>
      <w:marTop w:val="0"/>
      <w:marBottom w:val="0"/>
      <w:divBdr>
        <w:top w:val="none" w:sz="0" w:space="0" w:color="auto"/>
        <w:left w:val="none" w:sz="0" w:space="0" w:color="auto"/>
        <w:bottom w:val="none" w:sz="0" w:space="0" w:color="auto"/>
        <w:right w:val="none" w:sz="0" w:space="0" w:color="auto"/>
      </w:divBdr>
    </w:div>
    <w:div w:id="540170708">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0376093">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04951581">
      <w:bodyDiv w:val="1"/>
      <w:marLeft w:val="0"/>
      <w:marRight w:val="0"/>
      <w:marTop w:val="0"/>
      <w:marBottom w:val="0"/>
      <w:divBdr>
        <w:top w:val="none" w:sz="0" w:space="0" w:color="auto"/>
        <w:left w:val="none" w:sz="0" w:space="0" w:color="auto"/>
        <w:bottom w:val="none" w:sz="0" w:space="0" w:color="auto"/>
        <w:right w:val="none" w:sz="0" w:space="0" w:color="auto"/>
      </w:divBdr>
    </w:div>
    <w:div w:id="1220096004">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45843504">
      <w:bodyDiv w:val="1"/>
      <w:marLeft w:val="0"/>
      <w:marRight w:val="0"/>
      <w:marTop w:val="0"/>
      <w:marBottom w:val="0"/>
      <w:divBdr>
        <w:top w:val="none" w:sz="0" w:space="0" w:color="auto"/>
        <w:left w:val="none" w:sz="0" w:space="0" w:color="auto"/>
        <w:bottom w:val="none" w:sz="0" w:space="0" w:color="auto"/>
        <w:right w:val="none" w:sz="0" w:space="0" w:color="auto"/>
      </w:divBdr>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3972653">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3111914">
      <w:bodyDiv w:val="1"/>
      <w:marLeft w:val="0"/>
      <w:marRight w:val="0"/>
      <w:marTop w:val="0"/>
      <w:marBottom w:val="0"/>
      <w:divBdr>
        <w:top w:val="none" w:sz="0" w:space="0" w:color="auto"/>
        <w:left w:val="none" w:sz="0" w:space="0" w:color="auto"/>
        <w:bottom w:val="none" w:sz="0" w:space="0" w:color="auto"/>
        <w:right w:val="none" w:sz="0" w:space="0" w:color="auto"/>
      </w:divBdr>
      <w:divsChild>
        <w:div w:id="2016957031">
          <w:marLeft w:val="0"/>
          <w:marRight w:val="0"/>
          <w:marTop w:val="0"/>
          <w:marBottom w:val="0"/>
          <w:divBdr>
            <w:top w:val="none" w:sz="0" w:space="0" w:color="auto"/>
            <w:left w:val="none" w:sz="0" w:space="0" w:color="auto"/>
            <w:bottom w:val="none" w:sz="0" w:space="0" w:color="auto"/>
            <w:right w:val="none" w:sz="0" w:space="0" w:color="auto"/>
          </w:divBdr>
        </w:div>
        <w:div w:id="280428730">
          <w:marLeft w:val="0"/>
          <w:marRight w:val="0"/>
          <w:marTop w:val="0"/>
          <w:marBottom w:val="0"/>
          <w:divBdr>
            <w:top w:val="none" w:sz="0" w:space="0" w:color="auto"/>
            <w:left w:val="none" w:sz="0" w:space="0" w:color="auto"/>
            <w:bottom w:val="none" w:sz="0" w:space="0" w:color="auto"/>
            <w:right w:val="none" w:sz="0" w:space="0" w:color="auto"/>
          </w:divBdr>
        </w:div>
      </w:divsChild>
    </w:div>
    <w:div w:id="1445419676">
      <w:bodyDiv w:val="1"/>
      <w:marLeft w:val="0"/>
      <w:marRight w:val="0"/>
      <w:marTop w:val="0"/>
      <w:marBottom w:val="0"/>
      <w:divBdr>
        <w:top w:val="none" w:sz="0" w:space="0" w:color="auto"/>
        <w:left w:val="none" w:sz="0" w:space="0" w:color="auto"/>
        <w:bottom w:val="none" w:sz="0" w:space="0" w:color="auto"/>
        <w:right w:val="none" w:sz="0" w:space="0" w:color="auto"/>
      </w:divBdr>
      <w:divsChild>
        <w:div w:id="1680423335">
          <w:marLeft w:val="0"/>
          <w:marRight w:val="0"/>
          <w:marTop w:val="0"/>
          <w:marBottom w:val="300"/>
          <w:divBdr>
            <w:top w:val="none" w:sz="0" w:space="0" w:color="auto"/>
            <w:left w:val="none" w:sz="0" w:space="0" w:color="auto"/>
            <w:bottom w:val="none" w:sz="0" w:space="0" w:color="auto"/>
            <w:right w:val="none" w:sz="0" w:space="0" w:color="auto"/>
          </w:divBdr>
          <w:divsChild>
            <w:div w:id="698704949">
              <w:marLeft w:val="0"/>
              <w:marRight w:val="0"/>
              <w:marTop w:val="0"/>
              <w:marBottom w:val="0"/>
              <w:divBdr>
                <w:top w:val="none" w:sz="0" w:space="0" w:color="auto"/>
                <w:left w:val="none" w:sz="0" w:space="0" w:color="auto"/>
                <w:bottom w:val="none" w:sz="0" w:space="0" w:color="auto"/>
                <w:right w:val="none" w:sz="0" w:space="0" w:color="auto"/>
              </w:divBdr>
              <w:divsChild>
                <w:div w:id="200365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34697">
          <w:marLeft w:val="0"/>
          <w:marRight w:val="0"/>
          <w:marTop w:val="0"/>
          <w:marBottom w:val="0"/>
          <w:divBdr>
            <w:top w:val="none" w:sz="0" w:space="0" w:color="auto"/>
            <w:left w:val="none" w:sz="0" w:space="0" w:color="auto"/>
            <w:bottom w:val="none" w:sz="0" w:space="0" w:color="auto"/>
            <w:right w:val="none" w:sz="0" w:space="0" w:color="auto"/>
          </w:divBdr>
          <w:divsChild>
            <w:div w:id="1650282047">
              <w:marLeft w:val="0"/>
              <w:marRight w:val="0"/>
              <w:marTop w:val="0"/>
              <w:marBottom w:val="0"/>
              <w:divBdr>
                <w:top w:val="none" w:sz="0" w:space="0" w:color="auto"/>
                <w:left w:val="none" w:sz="0" w:space="0" w:color="auto"/>
                <w:bottom w:val="none" w:sz="0" w:space="0" w:color="auto"/>
                <w:right w:val="none" w:sz="0" w:space="0" w:color="auto"/>
              </w:divBdr>
              <w:divsChild>
                <w:div w:id="1582980605">
                  <w:marLeft w:val="0"/>
                  <w:marRight w:val="0"/>
                  <w:marTop w:val="0"/>
                  <w:marBottom w:val="0"/>
                  <w:divBdr>
                    <w:top w:val="none" w:sz="0" w:space="0" w:color="auto"/>
                    <w:left w:val="none" w:sz="0" w:space="0" w:color="auto"/>
                    <w:bottom w:val="none" w:sz="0" w:space="0" w:color="auto"/>
                    <w:right w:val="none" w:sz="0" w:space="0" w:color="auto"/>
                  </w:divBdr>
                  <w:divsChild>
                    <w:div w:id="1339582654">
                      <w:marLeft w:val="0"/>
                      <w:marRight w:val="0"/>
                      <w:marTop w:val="0"/>
                      <w:marBottom w:val="0"/>
                      <w:divBdr>
                        <w:top w:val="none" w:sz="0" w:space="0" w:color="auto"/>
                        <w:left w:val="none" w:sz="0" w:space="0" w:color="auto"/>
                        <w:bottom w:val="none" w:sz="0" w:space="0" w:color="auto"/>
                        <w:right w:val="none" w:sz="0" w:space="0" w:color="auto"/>
                      </w:divBdr>
                      <w:divsChild>
                        <w:div w:id="613903079">
                          <w:marLeft w:val="0"/>
                          <w:marRight w:val="0"/>
                          <w:marTop w:val="0"/>
                          <w:marBottom w:val="0"/>
                          <w:divBdr>
                            <w:top w:val="none" w:sz="0" w:space="0" w:color="auto"/>
                            <w:left w:val="none" w:sz="0" w:space="0" w:color="auto"/>
                            <w:bottom w:val="none" w:sz="0" w:space="0" w:color="auto"/>
                            <w:right w:val="none" w:sz="0" w:space="0" w:color="auto"/>
                          </w:divBdr>
                          <w:divsChild>
                            <w:div w:id="1172988949">
                              <w:marLeft w:val="0"/>
                              <w:marRight w:val="0"/>
                              <w:marTop w:val="0"/>
                              <w:marBottom w:val="0"/>
                              <w:divBdr>
                                <w:top w:val="none" w:sz="0" w:space="0" w:color="auto"/>
                                <w:left w:val="none" w:sz="0" w:space="0" w:color="auto"/>
                                <w:bottom w:val="none" w:sz="0" w:space="0" w:color="auto"/>
                                <w:right w:val="none" w:sz="0" w:space="0" w:color="auto"/>
                              </w:divBdr>
                              <w:divsChild>
                                <w:div w:id="1074161896">
                                  <w:marLeft w:val="0"/>
                                  <w:marRight w:val="0"/>
                                  <w:marTop w:val="0"/>
                                  <w:marBottom w:val="0"/>
                                  <w:divBdr>
                                    <w:top w:val="none" w:sz="0" w:space="0" w:color="auto"/>
                                    <w:left w:val="none" w:sz="0" w:space="0" w:color="auto"/>
                                    <w:bottom w:val="none" w:sz="0" w:space="0" w:color="auto"/>
                                    <w:right w:val="none" w:sz="0" w:space="0" w:color="auto"/>
                                  </w:divBdr>
                                  <w:divsChild>
                                    <w:div w:id="136413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41552596">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89541263">
      <w:bodyDiv w:val="1"/>
      <w:marLeft w:val="0"/>
      <w:marRight w:val="0"/>
      <w:marTop w:val="0"/>
      <w:marBottom w:val="0"/>
      <w:divBdr>
        <w:top w:val="none" w:sz="0" w:space="0" w:color="auto"/>
        <w:left w:val="none" w:sz="0" w:space="0" w:color="auto"/>
        <w:bottom w:val="none" w:sz="0" w:space="0" w:color="auto"/>
        <w:right w:val="none" w:sz="0" w:space="0" w:color="auto"/>
      </w:divBdr>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48975996">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66859884">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21049575">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23544019">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1968315290">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BA2EA7-3DBF-4907-B738-F648784E0793}">
  <ds:schemaRefs>
    <ds:schemaRef ds:uri="http://schemas.openxmlformats.org/officeDocument/2006/bibliography"/>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A547430C-91A2-47FC-96BA-E3074243B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D3A4D-46FC-4C9D-A646-0B0B22B0418A}">
  <ds:schemaRefs>
    <ds:schemaRef ds:uri="http://schemas.microsoft.com/office/2006/documentManagement/types"/>
    <ds:schemaRef ds:uri="http://purl.org/dc/dcmitype/"/>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52c93ea8-e2de-466c-b401-d7fabeb9490e"/>
    <ds:schemaRef ds:uri="http://purl.org/dc/te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20</TotalTime>
  <Pages>11</Pages>
  <Words>5016</Words>
  <Characters>31665</Characters>
  <Application>Microsoft Office Word</Application>
  <DocSecurity>0</DocSecurity>
  <Lines>263</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36608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Adalberto Luiz da Silva</cp:lastModifiedBy>
  <cp:revision>3</cp:revision>
  <cp:lastPrinted>2026-08-27T17:39:00Z</cp:lastPrinted>
  <dcterms:created xsi:type="dcterms:W3CDTF">2026-10-16T17:07:00Z</dcterms:created>
  <dcterms:modified xsi:type="dcterms:W3CDTF">2026-10-16T17:26:00Z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